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10F" w:rsidRDefault="0081710F" w:rsidP="00805DAB">
      <w:pPr>
        <w:rPr>
          <w:rFonts w:cstheme="minorHAnsi"/>
        </w:rPr>
      </w:pPr>
      <w:bookmarkStart w:id="0" w:name="_GoBack"/>
      <w:bookmarkEnd w:id="0"/>
      <w:r>
        <w:rPr>
          <w:noProof/>
          <w:lang w:val="en-US"/>
        </w:rPr>
        <w:drawing>
          <wp:inline distT="0" distB="0" distL="0" distR="0" wp14:anchorId="69F9DA11" wp14:editId="312FA25B">
            <wp:extent cx="914400" cy="628650"/>
            <wp:effectExtent l="0" t="0" r="0" b="0"/>
            <wp:docPr id="1" name="Picture 1" descr="sspa"/>
            <wp:cNvGraphicFramePr/>
            <a:graphic xmlns:a="http://schemas.openxmlformats.org/drawingml/2006/main">
              <a:graphicData uri="http://schemas.openxmlformats.org/drawingml/2006/picture">
                <pic:pic xmlns:pic="http://schemas.openxmlformats.org/drawingml/2006/picture">
                  <pic:nvPicPr>
                    <pic:cNvPr id="1" name="Picture 1" descr="sspa"/>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14400" cy="628650"/>
                    </a:xfrm>
                    <a:prstGeom prst="rect">
                      <a:avLst/>
                    </a:prstGeom>
                    <a:noFill/>
                    <a:ln>
                      <a:noFill/>
                    </a:ln>
                  </pic:spPr>
                </pic:pic>
              </a:graphicData>
            </a:graphic>
          </wp:inline>
        </w:drawing>
      </w:r>
    </w:p>
    <w:p w:rsidR="00943231" w:rsidRDefault="00943231" w:rsidP="00805DAB">
      <w:pPr>
        <w:rPr>
          <w:rFonts w:cstheme="minorHAnsi"/>
        </w:rPr>
      </w:pPr>
    </w:p>
    <w:p w:rsidR="00805DAB" w:rsidRPr="00205848" w:rsidRDefault="00805DAB" w:rsidP="00805DAB">
      <w:pPr>
        <w:rPr>
          <w:rFonts w:cstheme="minorHAnsi"/>
        </w:rPr>
      </w:pPr>
      <w:r>
        <w:rPr>
          <w:rFonts w:cstheme="minorHAnsi"/>
        </w:rPr>
        <w:t xml:space="preserve">October </w:t>
      </w:r>
      <w:r w:rsidRPr="00205848">
        <w:rPr>
          <w:rFonts w:cstheme="minorHAnsi"/>
        </w:rPr>
        <w:t>2012</w:t>
      </w:r>
    </w:p>
    <w:p w:rsidR="00805DAB" w:rsidRPr="00205848" w:rsidRDefault="00805DAB" w:rsidP="00805DAB">
      <w:pPr>
        <w:rPr>
          <w:rFonts w:cstheme="minorHAnsi"/>
        </w:rPr>
      </w:pPr>
      <w:r w:rsidRPr="00205848">
        <w:rPr>
          <w:rFonts w:cstheme="minorHAnsi"/>
        </w:rPr>
        <w:t>Social Service Providers Aotearoa (SSPA)</w:t>
      </w:r>
    </w:p>
    <w:p w:rsidR="00034CF4" w:rsidRDefault="00805DAB" w:rsidP="00805DAB">
      <w:pPr>
        <w:rPr>
          <w:rFonts w:cstheme="minorHAnsi"/>
          <w:u w:val="single"/>
        </w:rPr>
      </w:pPr>
      <w:r w:rsidRPr="00205848">
        <w:rPr>
          <w:rFonts w:cstheme="minorHAnsi"/>
          <w:u w:val="single"/>
        </w:rPr>
        <w:t xml:space="preserve">Submission on the </w:t>
      </w:r>
      <w:r>
        <w:rPr>
          <w:rFonts w:cstheme="minorHAnsi"/>
          <w:u w:val="single"/>
        </w:rPr>
        <w:t xml:space="preserve">Expert Advisory Group </w:t>
      </w:r>
      <w:r w:rsidR="00CD7718">
        <w:rPr>
          <w:rFonts w:cstheme="minorHAnsi"/>
          <w:u w:val="single"/>
        </w:rPr>
        <w:t xml:space="preserve">Report </w:t>
      </w:r>
      <w:r>
        <w:rPr>
          <w:rFonts w:cstheme="minorHAnsi"/>
          <w:u w:val="single"/>
        </w:rPr>
        <w:t>on Solutions to Child Poverty</w:t>
      </w:r>
    </w:p>
    <w:p w:rsidR="00006002" w:rsidRDefault="00006002" w:rsidP="00805DAB">
      <w:pPr>
        <w:rPr>
          <w:rFonts w:cstheme="minorHAnsi"/>
        </w:rPr>
      </w:pPr>
    </w:p>
    <w:p w:rsidR="00805DAB" w:rsidRPr="00034CF4" w:rsidRDefault="00805DAB" w:rsidP="00805DAB">
      <w:pPr>
        <w:rPr>
          <w:rFonts w:cstheme="minorHAnsi"/>
          <w:u w:val="single"/>
        </w:rPr>
      </w:pPr>
      <w:r w:rsidRPr="00205848">
        <w:rPr>
          <w:rFonts w:cstheme="minorHAnsi"/>
        </w:rPr>
        <w:t>Introduction</w:t>
      </w:r>
    </w:p>
    <w:p w:rsidR="00805DAB" w:rsidRPr="00205848" w:rsidRDefault="00805DAB" w:rsidP="00805DAB">
      <w:pPr>
        <w:ind w:left="720" w:hanging="720"/>
        <w:rPr>
          <w:rFonts w:cstheme="minorHAnsi"/>
        </w:rPr>
      </w:pPr>
      <w:r w:rsidRPr="00205848">
        <w:rPr>
          <w:rFonts w:cstheme="minorHAnsi"/>
        </w:rPr>
        <w:t>1</w:t>
      </w:r>
      <w:r w:rsidRPr="00205848">
        <w:rPr>
          <w:rFonts w:cstheme="minorHAnsi"/>
        </w:rPr>
        <w:tab/>
        <w:t>SSPA is a</w:t>
      </w:r>
      <w:r w:rsidR="00AB5EC3">
        <w:rPr>
          <w:rFonts w:cstheme="minorHAnsi"/>
        </w:rPr>
        <w:t xml:space="preserve"> peak body representing some 215</w:t>
      </w:r>
      <w:r w:rsidRPr="00205848">
        <w:rPr>
          <w:rFonts w:cstheme="minorHAnsi"/>
        </w:rPr>
        <w:t xml:space="preserve"> </w:t>
      </w:r>
      <w:r w:rsidRPr="00805DAB">
        <w:rPr>
          <w:rFonts w:cstheme="minorHAnsi"/>
        </w:rPr>
        <w:t>NGO</w:t>
      </w:r>
      <w:r w:rsidRPr="00205848">
        <w:rPr>
          <w:rFonts w:cstheme="minorHAnsi"/>
        </w:rPr>
        <w:t xml:space="preserve"> social service providers who are co-funded by</w:t>
      </w:r>
      <w:r w:rsidRPr="00805DAB">
        <w:rPr>
          <w:rFonts w:cstheme="minorHAnsi"/>
        </w:rPr>
        <w:t xml:space="preserve"> MSD </w:t>
      </w:r>
      <w:r w:rsidRPr="00205848">
        <w:rPr>
          <w:rFonts w:cstheme="minorHAnsi"/>
        </w:rPr>
        <w:t xml:space="preserve">and private sources to provide a range of services for vulnerable children and their </w:t>
      </w:r>
      <w:r w:rsidR="007B0442" w:rsidRPr="00205848">
        <w:rPr>
          <w:rFonts w:cstheme="minorHAnsi"/>
        </w:rPr>
        <w:t>families</w:t>
      </w:r>
      <w:r w:rsidR="007B0442">
        <w:rPr>
          <w:rFonts w:cstheme="minorHAnsi"/>
        </w:rPr>
        <w:t>,</w:t>
      </w:r>
      <w:r w:rsidRPr="00205848">
        <w:rPr>
          <w:rFonts w:cstheme="minorHAnsi"/>
        </w:rPr>
        <w:t xml:space="preserve"> see </w:t>
      </w:r>
      <w:hyperlink r:id="rId8" w:history="1">
        <w:r w:rsidRPr="00205848">
          <w:rPr>
            <w:rStyle w:val="Hyperlink"/>
            <w:rFonts w:cstheme="minorHAnsi"/>
          </w:rPr>
          <w:t>www.sspa.org.nz</w:t>
        </w:r>
      </w:hyperlink>
    </w:p>
    <w:p w:rsidR="00805DAB" w:rsidRPr="00205848" w:rsidRDefault="00805DAB" w:rsidP="00805DAB">
      <w:pPr>
        <w:ind w:left="720" w:hanging="720"/>
        <w:rPr>
          <w:rFonts w:cstheme="minorHAnsi"/>
        </w:rPr>
      </w:pPr>
      <w:r w:rsidRPr="00205848">
        <w:rPr>
          <w:rFonts w:cstheme="minorHAnsi"/>
        </w:rPr>
        <w:t>2</w:t>
      </w:r>
      <w:r w:rsidRPr="00205848">
        <w:rPr>
          <w:rFonts w:cstheme="minorHAnsi"/>
        </w:rPr>
        <w:tab/>
        <w:t xml:space="preserve">SSPA runs professional development for members (and others) through written material, regional meetings, seminars and conferences with the aim of improving the effectiveness and efficiency of </w:t>
      </w:r>
      <w:r>
        <w:rPr>
          <w:rFonts w:cstheme="minorHAnsi"/>
        </w:rPr>
        <w:t xml:space="preserve">social service </w:t>
      </w:r>
      <w:r w:rsidRPr="00205848">
        <w:rPr>
          <w:rFonts w:cstheme="minorHAnsi"/>
        </w:rPr>
        <w:t xml:space="preserve">practice and </w:t>
      </w:r>
      <w:r>
        <w:rPr>
          <w:rFonts w:cstheme="minorHAnsi"/>
        </w:rPr>
        <w:t xml:space="preserve">NGO </w:t>
      </w:r>
      <w:r w:rsidRPr="00205848">
        <w:rPr>
          <w:rFonts w:cstheme="minorHAnsi"/>
        </w:rPr>
        <w:t xml:space="preserve">managerial decision-making. </w:t>
      </w:r>
    </w:p>
    <w:p w:rsidR="00805DAB" w:rsidRPr="00205848" w:rsidRDefault="00805DAB" w:rsidP="00805DAB">
      <w:pPr>
        <w:ind w:left="720" w:hanging="720"/>
        <w:rPr>
          <w:rFonts w:cstheme="minorHAnsi"/>
        </w:rPr>
      </w:pPr>
      <w:r w:rsidRPr="00205848">
        <w:rPr>
          <w:rFonts w:cstheme="minorHAnsi"/>
        </w:rPr>
        <w:t>3</w:t>
      </w:r>
      <w:r w:rsidRPr="00205848">
        <w:rPr>
          <w:rFonts w:cstheme="minorHAnsi"/>
        </w:rPr>
        <w:tab/>
        <w:t>This submi</w:t>
      </w:r>
      <w:r>
        <w:rPr>
          <w:rFonts w:cstheme="minorHAnsi"/>
        </w:rPr>
        <w:t>ssion is presented in 4 parts</w:t>
      </w:r>
      <w:r w:rsidRPr="00205848">
        <w:rPr>
          <w:rFonts w:cstheme="minorHAnsi"/>
        </w:rPr>
        <w:t>:</w:t>
      </w:r>
    </w:p>
    <w:p w:rsidR="00805DAB" w:rsidRPr="00205848" w:rsidRDefault="00805DAB" w:rsidP="00D80DBA">
      <w:pPr>
        <w:pStyle w:val="NoSpacing"/>
      </w:pPr>
      <w:r w:rsidRPr="00205848">
        <w:tab/>
        <w:t xml:space="preserve">(a) </w:t>
      </w:r>
      <w:r w:rsidR="00CE16AE">
        <w:tab/>
      </w:r>
      <w:r w:rsidRPr="00205848">
        <w:t>Context;</w:t>
      </w:r>
    </w:p>
    <w:p w:rsidR="00805DAB" w:rsidRPr="00205848" w:rsidRDefault="00805DAB" w:rsidP="00D80DBA">
      <w:pPr>
        <w:pStyle w:val="NoSpacing"/>
      </w:pPr>
      <w:r>
        <w:tab/>
        <w:t>(b)</w:t>
      </w:r>
      <w:r w:rsidR="00176811">
        <w:t xml:space="preserve"> </w:t>
      </w:r>
      <w:r w:rsidR="00CE16AE">
        <w:tab/>
      </w:r>
      <w:r w:rsidR="00176811">
        <w:t>Comments on the k</w:t>
      </w:r>
      <w:r w:rsidR="000F4B8F">
        <w:t>ey drivers of the Report</w:t>
      </w:r>
      <w:r w:rsidRPr="00205848">
        <w:t>;</w:t>
      </w:r>
    </w:p>
    <w:p w:rsidR="00805DAB" w:rsidRPr="00205848" w:rsidRDefault="000F4B8F" w:rsidP="00D80DBA">
      <w:pPr>
        <w:pStyle w:val="NoSpacing"/>
      </w:pPr>
      <w:r>
        <w:tab/>
        <w:t xml:space="preserve">(c) </w:t>
      </w:r>
      <w:r w:rsidR="00CE16AE">
        <w:tab/>
      </w:r>
      <w:r>
        <w:t xml:space="preserve">Specific examples; </w:t>
      </w:r>
      <w:r w:rsidR="00805DAB" w:rsidRPr="00205848">
        <w:t>and</w:t>
      </w:r>
    </w:p>
    <w:p w:rsidR="00805DAB" w:rsidRDefault="00805DAB" w:rsidP="00D80DBA">
      <w:pPr>
        <w:pStyle w:val="NoSpacing"/>
      </w:pPr>
      <w:r w:rsidRPr="00205848">
        <w:tab/>
        <w:t>(e)</w:t>
      </w:r>
      <w:r w:rsidR="00736731">
        <w:t xml:space="preserve"> </w:t>
      </w:r>
      <w:r w:rsidR="00CE16AE">
        <w:tab/>
      </w:r>
      <w:r w:rsidR="000F4B8F">
        <w:t>Recommendations.</w:t>
      </w:r>
    </w:p>
    <w:p w:rsidR="00D80DBA" w:rsidRPr="00205848" w:rsidRDefault="00D80DBA" w:rsidP="00D80DBA">
      <w:pPr>
        <w:pStyle w:val="NoSpacing"/>
      </w:pPr>
    </w:p>
    <w:p w:rsidR="00805DAB" w:rsidRDefault="00805DAB" w:rsidP="00805DAB">
      <w:pPr>
        <w:autoSpaceDE w:val="0"/>
        <w:autoSpaceDN w:val="0"/>
        <w:adjustRightInd w:val="0"/>
        <w:spacing w:after="0" w:line="240" w:lineRule="auto"/>
        <w:ind w:left="720" w:hanging="720"/>
        <w:rPr>
          <w:rFonts w:cstheme="minorHAnsi"/>
        </w:rPr>
      </w:pPr>
      <w:r w:rsidRPr="00205848">
        <w:rPr>
          <w:rFonts w:cstheme="minorHAnsi"/>
        </w:rPr>
        <w:t>4</w:t>
      </w:r>
      <w:r w:rsidRPr="00205848">
        <w:rPr>
          <w:rFonts w:cstheme="minorHAnsi"/>
        </w:rPr>
        <w:tab/>
        <w:t>SSPA prepares its submissions through a synthesis of member views, in house regulatory experience, research and contracted spec</w:t>
      </w:r>
      <w:r w:rsidR="009B352B">
        <w:rPr>
          <w:rFonts w:cstheme="minorHAnsi"/>
        </w:rPr>
        <w:t>ialist advice. Member views are</w:t>
      </w:r>
      <w:r w:rsidRPr="00205848">
        <w:rPr>
          <w:rFonts w:cstheme="minorHAnsi"/>
        </w:rPr>
        <w:t xml:space="preserve"> sought through a variety of means including surveys, an open invitation to members for comment on issues of interest, regular newsletters and regional meetings. </w:t>
      </w:r>
    </w:p>
    <w:p w:rsidR="00805DAB" w:rsidRDefault="00805DAB" w:rsidP="00805DAB">
      <w:pPr>
        <w:autoSpaceDE w:val="0"/>
        <w:autoSpaceDN w:val="0"/>
        <w:adjustRightInd w:val="0"/>
        <w:spacing w:after="0" w:line="240" w:lineRule="auto"/>
        <w:ind w:left="720" w:hanging="720"/>
        <w:rPr>
          <w:rFonts w:cstheme="minorHAnsi"/>
        </w:rPr>
      </w:pPr>
    </w:p>
    <w:p w:rsidR="00805DAB" w:rsidRPr="00205848" w:rsidRDefault="00805DAB" w:rsidP="00805DAB">
      <w:pPr>
        <w:autoSpaceDE w:val="0"/>
        <w:autoSpaceDN w:val="0"/>
        <w:adjustRightInd w:val="0"/>
        <w:spacing w:after="0" w:line="240" w:lineRule="auto"/>
        <w:ind w:left="720" w:hanging="720"/>
        <w:rPr>
          <w:rFonts w:cstheme="minorHAnsi"/>
        </w:rPr>
      </w:pPr>
      <w:r>
        <w:rPr>
          <w:rFonts w:cstheme="minorHAnsi"/>
        </w:rPr>
        <w:t>5</w:t>
      </w:r>
      <w:r>
        <w:rPr>
          <w:rFonts w:cstheme="minorHAnsi"/>
        </w:rPr>
        <w:tab/>
        <w:t xml:space="preserve">Please note the views in this submission don’t represent the views off all SSPA members, but the initial conclusions reached by the Board. </w:t>
      </w:r>
    </w:p>
    <w:p w:rsidR="00F72908" w:rsidRDefault="00F72908">
      <w:pPr>
        <w:rPr>
          <w:rFonts w:ascii="Helvetica" w:hAnsi="Helvetica" w:cs="Helvetica"/>
          <w:color w:val="FF0000"/>
        </w:rPr>
      </w:pPr>
    </w:p>
    <w:p w:rsidR="00736731" w:rsidRDefault="00736731">
      <w:pPr>
        <w:rPr>
          <w:rFonts w:cstheme="minorHAnsi"/>
        </w:rPr>
      </w:pPr>
      <w:r w:rsidRPr="00736731">
        <w:rPr>
          <w:rFonts w:cstheme="minorHAnsi"/>
        </w:rPr>
        <w:t>Context</w:t>
      </w:r>
    </w:p>
    <w:p w:rsidR="00736731" w:rsidRDefault="00736731" w:rsidP="00736731">
      <w:pPr>
        <w:pStyle w:val="NoSpacing"/>
        <w:ind w:left="720" w:hanging="720"/>
      </w:pPr>
      <w:r>
        <w:rPr>
          <w:rFonts w:cstheme="minorHAnsi"/>
        </w:rPr>
        <w:t>6</w:t>
      </w:r>
      <w:r>
        <w:rPr>
          <w:rFonts w:cstheme="minorHAnsi"/>
        </w:rPr>
        <w:tab/>
      </w:r>
      <w:r w:rsidRPr="00205848">
        <w:t xml:space="preserve">In assessing the costs and benefits of any specific public policy settings </w:t>
      </w:r>
      <w:r>
        <w:t xml:space="preserve">or specific intervention </w:t>
      </w:r>
      <w:r w:rsidRPr="00205848">
        <w:t xml:space="preserve">it is important to have clear objective/s and be able to demonstrate the relative advantages of one option </w:t>
      </w:r>
      <w:r>
        <w:t xml:space="preserve">or combination of options </w:t>
      </w:r>
      <w:r w:rsidRPr="00205848">
        <w:t>over another.</w:t>
      </w:r>
    </w:p>
    <w:p w:rsidR="00736731" w:rsidRPr="00205848" w:rsidRDefault="00736731" w:rsidP="00736731">
      <w:pPr>
        <w:pStyle w:val="NoSpacing"/>
        <w:ind w:left="720" w:hanging="720"/>
      </w:pPr>
    </w:p>
    <w:p w:rsidR="00736731" w:rsidRDefault="00736731" w:rsidP="00736731">
      <w:pPr>
        <w:pStyle w:val="NoSpacing"/>
        <w:ind w:left="720" w:hanging="720"/>
      </w:pPr>
      <w:r>
        <w:t>7</w:t>
      </w:r>
      <w:r w:rsidRPr="00205848">
        <w:tab/>
        <w:t>The objective of public policy should be to maximise the wellbeing of individuals and communities over time.  This requires ensuring that (a) allocative efficiency; (b) productive efficiency; and (c) dynamic efficiency are maximised. In short, an approach that allows</w:t>
      </w:r>
      <w:r>
        <w:t>:</w:t>
      </w:r>
    </w:p>
    <w:p w:rsidR="00736731" w:rsidRDefault="00736731" w:rsidP="00736731">
      <w:pPr>
        <w:pStyle w:val="NoSpacing"/>
        <w:ind w:left="720" w:hanging="720"/>
      </w:pPr>
    </w:p>
    <w:p w:rsidR="00736731" w:rsidRDefault="00736731" w:rsidP="00736731">
      <w:pPr>
        <w:pStyle w:val="NoSpacing"/>
        <w:ind w:left="720"/>
      </w:pPr>
      <w:r w:rsidRPr="00D8289C">
        <w:rPr>
          <w:i/>
        </w:rPr>
        <w:t xml:space="preserve"> the goods and services </w:t>
      </w:r>
      <w:r>
        <w:rPr>
          <w:i/>
        </w:rPr>
        <w:t xml:space="preserve">necessary </w:t>
      </w:r>
      <w:r w:rsidRPr="00D8289C">
        <w:rPr>
          <w:i/>
        </w:rPr>
        <w:t xml:space="preserve">for vulnerable children to be produced at the right time/place, at the lowest </w:t>
      </w:r>
      <w:r>
        <w:rPr>
          <w:i/>
        </w:rPr>
        <w:t xml:space="preserve">possible </w:t>
      </w:r>
      <w:r w:rsidRPr="00D8289C">
        <w:rPr>
          <w:i/>
        </w:rPr>
        <w:t xml:space="preserve">cost </w:t>
      </w:r>
      <w:r>
        <w:rPr>
          <w:i/>
        </w:rPr>
        <w:t xml:space="preserve">while </w:t>
      </w:r>
      <w:r w:rsidRPr="00D8289C">
        <w:rPr>
          <w:i/>
        </w:rPr>
        <w:t>allow</w:t>
      </w:r>
      <w:r>
        <w:rPr>
          <w:i/>
        </w:rPr>
        <w:t>ing</w:t>
      </w:r>
      <w:r w:rsidRPr="00D8289C">
        <w:rPr>
          <w:i/>
        </w:rPr>
        <w:t xml:space="preserve"> for innovation over time</w:t>
      </w:r>
      <w:r w:rsidRPr="00205848">
        <w:t>.</w:t>
      </w:r>
    </w:p>
    <w:p w:rsidR="00736731" w:rsidRDefault="00736731" w:rsidP="00736731">
      <w:pPr>
        <w:pStyle w:val="NoSpacing"/>
      </w:pPr>
    </w:p>
    <w:p w:rsidR="00736731" w:rsidRPr="0098277C" w:rsidRDefault="00736731" w:rsidP="0098277C">
      <w:pPr>
        <w:pStyle w:val="NoSpacing"/>
        <w:ind w:left="720"/>
        <w:rPr>
          <w:lang w:val="en-US"/>
        </w:rPr>
      </w:pPr>
      <w:r w:rsidRPr="00205848">
        <w:t xml:space="preserve">Innovation is important i.e. </w:t>
      </w:r>
      <w:r w:rsidRPr="00205848">
        <w:rPr>
          <w:lang w:val="en-US"/>
        </w:rPr>
        <w:t>appropriately balancing short run concerns with concerns in the long run and which has sufficient focus on encouraging research and development.</w:t>
      </w:r>
    </w:p>
    <w:p w:rsidR="00736731" w:rsidRPr="00205848" w:rsidRDefault="007B0442" w:rsidP="00736731">
      <w:pPr>
        <w:pStyle w:val="NormalWeb"/>
        <w:ind w:left="720" w:hanging="720"/>
        <w:rPr>
          <w:rFonts w:asciiTheme="minorHAnsi" w:hAnsiTheme="minorHAnsi" w:cstheme="minorHAnsi"/>
          <w:sz w:val="22"/>
          <w:szCs w:val="22"/>
        </w:rPr>
      </w:pPr>
      <w:r>
        <w:rPr>
          <w:rFonts w:asciiTheme="minorHAnsi" w:hAnsiTheme="minorHAnsi" w:cstheme="minorHAnsi"/>
          <w:sz w:val="22"/>
          <w:szCs w:val="22"/>
        </w:rPr>
        <w:t>8</w:t>
      </w:r>
      <w:r>
        <w:rPr>
          <w:rFonts w:asciiTheme="minorHAnsi" w:hAnsiTheme="minorHAnsi" w:cstheme="minorHAnsi"/>
          <w:sz w:val="22"/>
          <w:szCs w:val="22"/>
        </w:rPr>
        <w:tab/>
      </w:r>
      <w:r w:rsidR="00736731" w:rsidRPr="00205848">
        <w:rPr>
          <w:rFonts w:asciiTheme="minorHAnsi" w:hAnsiTheme="minorHAnsi" w:cstheme="minorHAnsi"/>
          <w:sz w:val="22"/>
          <w:szCs w:val="22"/>
        </w:rPr>
        <w:t>Three</w:t>
      </w:r>
      <w:r w:rsidR="00736731">
        <w:rPr>
          <w:rFonts w:asciiTheme="minorHAnsi" w:hAnsiTheme="minorHAnsi" w:cstheme="minorHAnsi"/>
          <w:sz w:val="22"/>
          <w:szCs w:val="22"/>
        </w:rPr>
        <w:t xml:space="preserve"> other key considerations help shape</w:t>
      </w:r>
      <w:r w:rsidR="00736731" w:rsidRPr="00205848">
        <w:rPr>
          <w:rFonts w:asciiTheme="minorHAnsi" w:hAnsiTheme="minorHAnsi" w:cstheme="minorHAnsi"/>
          <w:sz w:val="22"/>
          <w:szCs w:val="22"/>
        </w:rPr>
        <w:t xml:space="preserve"> the policy </w:t>
      </w:r>
      <w:r w:rsidR="00542765" w:rsidRPr="00205848">
        <w:rPr>
          <w:rFonts w:asciiTheme="minorHAnsi" w:hAnsiTheme="minorHAnsi" w:cstheme="minorHAnsi"/>
          <w:sz w:val="22"/>
          <w:szCs w:val="22"/>
        </w:rPr>
        <w:t xml:space="preserve">framework </w:t>
      </w:r>
      <w:r w:rsidR="00542765">
        <w:rPr>
          <w:rFonts w:asciiTheme="minorHAnsi" w:hAnsiTheme="minorHAnsi" w:cstheme="minorHAnsi"/>
          <w:sz w:val="22"/>
          <w:szCs w:val="22"/>
        </w:rPr>
        <w:t>required</w:t>
      </w:r>
      <w:r w:rsidR="00736731" w:rsidRPr="00205848">
        <w:rPr>
          <w:rFonts w:asciiTheme="minorHAnsi" w:hAnsiTheme="minorHAnsi" w:cstheme="minorHAnsi"/>
          <w:sz w:val="22"/>
          <w:szCs w:val="22"/>
        </w:rPr>
        <w:t xml:space="preserve"> for minimising harm to vulnerable children and their families</w:t>
      </w:r>
      <w:r w:rsidR="002E610B">
        <w:rPr>
          <w:rFonts w:asciiTheme="minorHAnsi" w:hAnsiTheme="minorHAnsi" w:cstheme="minorHAnsi"/>
          <w:sz w:val="22"/>
          <w:szCs w:val="22"/>
        </w:rPr>
        <w:t xml:space="preserve"> and to maximise equality of opportunity for all New Zealanders</w:t>
      </w:r>
      <w:r w:rsidR="00736731" w:rsidRPr="00205848">
        <w:rPr>
          <w:rFonts w:asciiTheme="minorHAnsi" w:hAnsiTheme="minorHAnsi" w:cstheme="minorHAnsi"/>
          <w:sz w:val="22"/>
          <w:szCs w:val="22"/>
        </w:rPr>
        <w:t xml:space="preserve">: </w:t>
      </w:r>
    </w:p>
    <w:p w:rsidR="00736731" w:rsidRPr="00205848" w:rsidRDefault="00736731" w:rsidP="00D80DBA">
      <w:pPr>
        <w:pStyle w:val="NoSpacing"/>
        <w:ind w:left="720" w:hanging="720"/>
      </w:pPr>
      <w:r w:rsidRPr="00205848">
        <w:tab/>
        <w:t xml:space="preserve">(a) </w:t>
      </w:r>
      <w:r w:rsidR="00365B54">
        <w:tab/>
      </w:r>
      <w:r w:rsidRPr="00205848">
        <w:t>Incentives matter;</w:t>
      </w:r>
    </w:p>
    <w:p w:rsidR="00736731" w:rsidRPr="00205848" w:rsidRDefault="00736731" w:rsidP="00D80DBA">
      <w:pPr>
        <w:pStyle w:val="NoSpacing"/>
        <w:ind w:firstLine="720"/>
      </w:pPr>
      <w:r w:rsidRPr="00205848">
        <w:t xml:space="preserve">(b) </w:t>
      </w:r>
      <w:r w:rsidR="00365B54">
        <w:tab/>
      </w:r>
      <w:r w:rsidRPr="00205848">
        <w:t>Economic growth is very important; and</w:t>
      </w:r>
    </w:p>
    <w:p w:rsidR="00736731" w:rsidRPr="00205848" w:rsidRDefault="00736731" w:rsidP="00D80DBA">
      <w:pPr>
        <w:pStyle w:val="NoSpacing"/>
        <w:ind w:firstLine="720"/>
      </w:pPr>
      <w:r w:rsidRPr="00205848">
        <w:t xml:space="preserve">(c) </w:t>
      </w:r>
      <w:r w:rsidR="00365B54">
        <w:tab/>
      </w:r>
      <w:r w:rsidRPr="00205848">
        <w:t xml:space="preserve">Improving </w:t>
      </w:r>
      <w:r>
        <w:t>productivity</w:t>
      </w:r>
      <w:r w:rsidR="009C3996">
        <w:t xml:space="preserve"> is vital</w:t>
      </w:r>
      <w:r w:rsidRPr="00736731">
        <w:t xml:space="preserve">. </w:t>
      </w:r>
    </w:p>
    <w:p w:rsidR="00736731" w:rsidRPr="00205848" w:rsidRDefault="007B0442" w:rsidP="00176811">
      <w:pPr>
        <w:spacing w:before="100" w:beforeAutospacing="1" w:after="100" w:afterAutospacing="1"/>
        <w:ind w:left="720" w:hanging="720"/>
        <w:rPr>
          <w:rFonts w:cstheme="minorHAnsi"/>
        </w:rPr>
      </w:pPr>
      <w:r>
        <w:rPr>
          <w:rFonts w:cstheme="minorHAnsi"/>
          <w:bCs/>
          <w:iCs/>
        </w:rPr>
        <w:t>9</w:t>
      </w:r>
      <w:r w:rsidR="00736731" w:rsidRPr="00205848">
        <w:rPr>
          <w:rFonts w:cstheme="minorHAnsi"/>
          <w:b/>
          <w:bCs/>
          <w:i/>
          <w:iCs/>
        </w:rPr>
        <w:tab/>
      </w:r>
      <w:r w:rsidR="00736731" w:rsidRPr="00205848">
        <w:rPr>
          <w:rFonts w:cstheme="minorHAnsi"/>
          <w:bCs/>
          <w:iCs/>
        </w:rPr>
        <w:t xml:space="preserve">It is important to acknowledge that incentives matter to people. </w:t>
      </w:r>
      <w:r w:rsidR="00736731" w:rsidRPr="00205848">
        <w:rPr>
          <w:rFonts w:cstheme="minorHAnsi"/>
        </w:rPr>
        <w:t xml:space="preserve">An </w:t>
      </w:r>
      <w:r w:rsidR="00736731" w:rsidRPr="00C9543F">
        <w:rPr>
          <w:rFonts w:cstheme="minorHAnsi"/>
          <w:bCs/>
        </w:rPr>
        <w:t>incentive</w:t>
      </w:r>
      <w:r w:rsidR="00736731" w:rsidRPr="00205848">
        <w:rPr>
          <w:rFonts w:cstheme="minorHAnsi"/>
        </w:rPr>
        <w:t xml:space="preserve"> is any factor, financial or non-financial, that enables or motivates a particular course of action, or counts as a reason for preferring one choice to the alternatives. It is an expectation that encourages people to behave in a certain manner.</w:t>
      </w:r>
      <w:r w:rsidR="00176811">
        <w:rPr>
          <w:rFonts w:cstheme="minorHAnsi"/>
        </w:rPr>
        <w:t xml:space="preserve"> </w:t>
      </w:r>
      <w:r w:rsidR="00736731" w:rsidRPr="00205848">
        <w:rPr>
          <w:rFonts w:cstheme="minorHAnsi"/>
        </w:rPr>
        <w:t>It is extremely important to test current regulation and any proposed new regulation against its likely incentive effect on vulnerable children and their families.  The following table presents the incentives which may operate for vulnerable children, their families, communities, regulators and funders.</w:t>
      </w:r>
    </w:p>
    <w:tbl>
      <w:tblPr>
        <w:tblStyle w:val="TableGrid"/>
        <w:tblW w:w="0" w:type="auto"/>
        <w:tblInd w:w="817" w:type="dxa"/>
        <w:tblLook w:val="04A0" w:firstRow="1" w:lastRow="0" w:firstColumn="1" w:lastColumn="0" w:noHBand="0" w:noVBand="1"/>
      </w:tblPr>
      <w:tblGrid>
        <w:gridCol w:w="3804"/>
        <w:gridCol w:w="4621"/>
      </w:tblGrid>
      <w:tr w:rsidR="00736731" w:rsidRPr="00205848" w:rsidTr="00AD2DCB">
        <w:tc>
          <w:tcPr>
            <w:tcW w:w="3804" w:type="dxa"/>
          </w:tcPr>
          <w:p w:rsidR="00736731" w:rsidRPr="00205848" w:rsidRDefault="00736731" w:rsidP="00AD2DCB">
            <w:pPr>
              <w:pStyle w:val="NormalWeb"/>
              <w:rPr>
                <w:rFonts w:asciiTheme="minorHAnsi" w:hAnsiTheme="minorHAnsi" w:cstheme="minorHAnsi"/>
                <w:b/>
                <w:sz w:val="22"/>
                <w:szCs w:val="22"/>
              </w:rPr>
            </w:pPr>
            <w:r w:rsidRPr="00205848">
              <w:rPr>
                <w:rFonts w:asciiTheme="minorHAnsi" w:hAnsiTheme="minorHAnsi" w:cstheme="minorHAnsi"/>
                <w:b/>
                <w:sz w:val="22"/>
                <w:szCs w:val="22"/>
              </w:rPr>
              <w:t>Incentives</w:t>
            </w:r>
          </w:p>
        </w:tc>
        <w:tc>
          <w:tcPr>
            <w:tcW w:w="4621" w:type="dxa"/>
          </w:tcPr>
          <w:p w:rsidR="00736731" w:rsidRPr="00205848" w:rsidRDefault="00736731" w:rsidP="00AD2DCB">
            <w:pPr>
              <w:pStyle w:val="NormalWeb"/>
              <w:rPr>
                <w:rFonts w:asciiTheme="minorHAnsi" w:hAnsiTheme="minorHAnsi" w:cstheme="minorHAnsi"/>
                <w:b/>
                <w:sz w:val="22"/>
                <w:szCs w:val="22"/>
              </w:rPr>
            </w:pPr>
            <w:r w:rsidRPr="00205848">
              <w:rPr>
                <w:rFonts w:asciiTheme="minorHAnsi" w:hAnsiTheme="minorHAnsi" w:cstheme="minorHAnsi"/>
                <w:b/>
                <w:sz w:val="22"/>
                <w:szCs w:val="22"/>
              </w:rPr>
              <w:t>Definition</w:t>
            </w:r>
          </w:p>
        </w:tc>
      </w:tr>
      <w:tr w:rsidR="00736731" w:rsidRPr="00205848" w:rsidTr="00AD2DCB">
        <w:tc>
          <w:tcPr>
            <w:tcW w:w="3804" w:type="dxa"/>
          </w:tcPr>
          <w:p w:rsidR="00736731" w:rsidRPr="00205848" w:rsidRDefault="00736731" w:rsidP="00AD2DCB">
            <w:pPr>
              <w:pStyle w:val="NormalWeb"/>
              <w:rPr>
                <w:rFonts w:asciiTheme="minorHAnsi" w:hAnsiTheme="minorHAnsi" w:cstheme="minorHAnsi"/>
                <w:sz w:val="22"/>
                <w:szCs w:val="22"/>
              </w:rPr>
            </w:pPr>
            <w:r w:rsidRPr="00205848">
              <w:rPr>
                <w:rFonts w:asciiTheme="minorHAnsi" w:hAnsiTheme="minorHAnsi" w:cstheme="minorHAnsi"/>
                <w:sz w:val="22"/>
                <w:szCs w:val="22"/>
              </w:rPr>
              <w:t>Financial</w:t>
            </w:r>
          </w:p>
        </w:tc>
        <w:tc>
          <w:tcPr>
            <w:tcW w:w="4621" w:type="dxa"/>
          </w:tcPr>
          <w:p w:rsidR="00736731" w:rsidRPr="00205848" w:rsidRDefault="00736731" w:rsidP="00AD2DCB">
            <w:pPr>
              <w:pStyle w:val="NormalWeb"/>
              <w:rPr>
                <w:rFonts w:asciiTheme="minorHAnsi" w:hAnsiTheme="minorHAnsi" w:cstheme="minorHAnsi"/>
                <w:sz w:val="22"/>
                <w:szCs w:val="22"/>
              </w:rPr>
            </w:pPr>
            <w:r w:rsidRPr="00205848">
              <w:rPr>
                <w:rFonts w:asciiTheme="minorHAnsi" w:hAnsiTheme="minorHAnsi" w:cstheme="minorHAnsi"/>
                <w:sz w:val="22"/>
                <w:szCs w:val="22"/>
              </w:rPr>
              <w:t>are said to exist where an agent can expect some form of material reward — especially money — in exchange for acting in a particular way.</w:t>
            </w:r>
          </w:p>
        </w:tc>
      </w:tr>
      <w:tr w:rsidR="00736731" w:rsidRPr="00205848" w:rsidTr="00AD2DCB">
        <w:tc>
          <w:tcPr>
            <w:tcW w:w="3804" w:type="dxa"/>
          </w:tcPr>
          <w:p w:rsidR="00736731" w:rsidRPr="00205848" w:rsidRDefault="00736731" w:rsidP="00AD2DCB">
            <w:pPr>
              <w:pStyle w:val="NormalWeb"/>
              <w:rPr>
                <w:rFonts w:asciiTheme="minorHAnsi" w:hAnsiTheme="minorHAnsi" w:cstheme="minorHAnsi"/>
                <w:sz w:val="22"/>
                <w:szCs w:val="22"/>
              </w:rPr>
            </w:pPr>
            <w:r w:rsidRPr="00205848">
              <w:rPr>
                <w:rFonts w:asciiTheme="minorHAnsi" w:hAnsiTheme="minorHAnsi" w:cstheme="minorHAnsi"/>
                <w:sz w:val="22"/>
                <w:szCs w:val="22"/>
              </w:rPr>
              <w:t xml:space="preserve">Moral </w:t>
            </w:r>
          </w:p>
        </w:tc>
        <w:tc>
          <w:tcPr>
            <w:tcW w:w="4621" w:type="dxa"/>
          </w:tcPr>
          <w:p w:rsidR="00736731" w:rsidRPr="00205848" w:rsidRDefault="00736731" w:rsidP="00AD2DCB">
            <w:pPr>
              <w:pStyle w:val="NormalWeb"/>
              <w:rPr>
                <w:rFonts w:asciiTheme="minorHAnsi" w:hAnsiTheme="minorHAnsi" w:cstheme="minorHAnsi"/>
                <w:sz w:val="22"/>
                <w:szCs w:val="22"/>
              </w:rPr>
            </w:pPr>
            <w:r w:rsidRPr="00205848">
              <w:rPr>
                <w:rFonts w:asciiTheme="minorHAnsi" w:hAnsiTheme="minorHAnsi" w:cstheme="minorHAnsi"/>
                <w:sz w:val="22"/>
                <w:szCs w:val="22"/>
              </w:rPr>
              <w:t xml:space="preserve">are said to exist where a particular choice is widely regarded as the </w:t>
            </w:r>
            <w:r w:rsidRPr="00205848">
              <w:rPr>
                <w:rFonts w:asciiTheme="minorHAnsi" w:hAnsiTheme="minorHAnsi" w:cstheme="minorHAnsi"/>
                <w:i/>
                <w:iCs/>
                <w:sz w:val="22"/>
                <w:szCs w:val="22"/>
              </w:rPr>
              <w:t>right thing to do</w:t>
            </w:r>
            <w:r w:rsidRPr="00205848">
              <w:rPr>
                <w:rFonts w:asciiTheme="minorHAnsi" w:hAnsiTheme="minorHAnsi" w:cstheme="minorHAnsi"/>
                <w:sz w:val="22"/>
                <w:szCs w:val="22"/>
              </w:rPr>
              <w:t>, or as particularly admirable, or where the failure to act in a certain way is condemned as indecent. A person acting on a moral incentive can expect a sense of self-esteem, and approval or even admiration from his community; a person acting against a moral incentive can expect a sense of guilt, and condemnation or even ostracism from the community.</w:t>
            </w:r>
          </w:p>
        </w:tc>
      </w:tr>
      <w:tr w:rsidR="00736731" w:rsidRPr="00205848" w:rsidTr="00AD2DCB">
        <w:tc>
          <w:tcPr>
            <w:tcW w:w="3804" w:type="dxa"/>
          </w:tcPr>
          <w:p w:rsidR="00736731" w:rsidRPr="00205848" w:rsidRDefault="00736731" w:rsidP="00AD2DCB">
            <w:pPr>
              <w:pStyle w:val="NormalWeb"/>
              <w:rPr>
                <w:rFonts w:asciiTheme="minorHAnsi" w:hAnsiTheme="minorHAnsi" w:cstheme="minorHAnsi"/>
                <w:sz w:val="22"/>
                <w:szCs w:val="22"/>
              </w:rPr>
            </w:pPr>
            <w:r w:rsidRPr="00205848">
              <w:rPr>
                <w:rFonts w:asciiTheme="minorHAnsi" w:hAnsiTheme="minorHAnsi" w:cstheme="minorHAnsi"/>
                <w:sz w:val="22"/>
                <w:szCs w:val="22"/>
              </w:rPr>
              <w:t>Coercive</w:t>
            </w:r>
          </w:p>
        </w:tc>
        <w:tc>
          <w:tcPr>
            <w:tcW w:w="4621" w:type="dxa"/>
          </w:tcPr>
          <w:p w:rsidR="00736731" w:rsidRPr="00205848" w:rsidRDefault="00736731" w:rsidP="00AD2DCB">
            <w:pPr>
              <w:pStyle w:val="NormalWeb"/>
              <w:rPr>
                <w:rFonts w:asciiTheme="minorHAnsi" w:hAnsiTheme="minorHAnsi" w:cstheme="minorHAnsi"/>
                <w:sz w:val="22"/>
                <w:szCs w:val="22"/>
              </w:rPr>
            </w:pPr>
            <w:r w:rsidRPr="00205848">
              <w:rPr>
                <w:rFonts w:asciiTheme="minorHAnsi" w:hAnsiTheme="minorHAnsi" w:cstheme="minorHAnsi"/>
                <w:sz w:val="22"/>
                <w:szCs w:val="22"/>
              </w:rPr>
              <w:t xml:space="preserve">are said to exist where a person can expect that the failure to act in a particular way will result in </w:t>
            </w:r>
            <w:r w:rsidRPr="00205848">
              <w:rPr>
                <w:rFonts w:asciiTheme="minorHAnsi" w:hAnsiTheme="minorHAnsi" w:cstheme="minorHAnsi"/>
                <w:i/>
                <w:iCs/>
                <w:sz w:val="22"/>
                <w:szCs w:val="22"/>
              </w:rPr>
              <w:t>physical force</w:t>
            </w:r>
            <w:r w:rsidRPr="00205848">
              <w:rPr>
                <w:rFonts w:asciiTheme="minorHAnsi" w:hAnsiTheme="minorHAnsi" w:cstheme="minorHAnsi"/>
                <w:sz w:val="22"/>
                <w:szCs w:val="22"/>
              </w:rPr>
              <w:t xml:space="preserve"> being used against them (or their loved ones) by others in the community — for example, by inflicting pain in punishment, or by imprisonment, or by confiscating or destroying their possessions.</w:t>
            </w:r>
          </w:p>
        </w:tc>
      </w:tr>
      <w:tr w:rsidR="00736731" w:rsidRPr="00205848" w:rsidTr="00AD2DCB">
        <w:tc>
          <w:tcPr>
            <w:tcW w:w="3804" w:type="dxa"/>
          </w:tcPr>
          <w:p w:rsidR="00736731" w:rsidRPr="00205848" w:rsidRDefault="00736731" w:rsidP="00AD2DCB">
            <w:pPr>
              <w:pStyle w:val="NormalWeb"/>
              <w:rPr>
                <w:rFonts w:asciiTheme="minorHAnsi" w:hAnsiTheme="minorHAnsi" w:cstheme="minorHAnsi"/>
                <w:sz w:val="22"/>
                <w:szCs w:val="22"/>
              </w:rPr>
            </w:pPr>
            <w:r w:rsidRPr="00205848">
              <w:rPr>
                <w:rFonts w:asciiTheme="minorHAnsi" w:hAnsiTheme="minorHAnsi" w:cstheme="minorHAnsi"/>
                <w:sz w:val="22"/>
                <w:szCs w:val="22"/>
              </w:rPr>
              <w:t>Natural</w:t>
            </w:r>
          </w:p>
        </w:tc>
        <w:tc>
          <w:tcPr>
            <w:tcW w:w="4621" w:type="dxa"/>
          </w:tcPr>
          <w:p w:rsidR="00736731" w:rsidRPr="00205848" w:rsidRDefault="00176811" w:rsidP="00AD2DCB">
            <w:pPr>
              <w:pStyle w:val="NormalWeb"/>
              <w:rPr>
                <w:rFonts w:asciiTheme="minorHAnsi" w:hAnsiTheme="minorHAnsi" w:cstheme="minorHAnsi"/>
                <w:sz w:val="22"/>
                <w:szCs w:val="22"/>
              </w:rPr>
            </w:pPr>
            <w:r>
              <w:rPr>
                <w:rFonts w:asciiTheme="minorHAnsi" w:hAnsiTheme="minorHAnsi" w:cstheme="minorHAnsi"/>
                <w:sz w:val="22"/>
                <w:szCs w:val="22"/>
              </w:rPr>
              <w:t>such as curiosity</w:t>
            </w:r>
            <w:r w:rsidR="00736731" w:rsidRPr="00205848">
              <w:rPr>
                <w:rFonts w:asciiTheme="minorHAnsi" w:hAnsiTheme="minorHAnsi" w:cstheme="minorHAnsi"/>
                <w:sz w:val="22"/>
                <w:szCs w:val="22"/>
              </w:rPr>
              <w:t>, mental or physical exercise, admiration, fear, anger, pain, joy, or the pursuit of truth, or the control over things in the world or people or oneself.</w:t>
            </w:r>
            <w:r w:rsidR="000959D8">
              <w:rPr>
                <w:rFonts w:asciiTheme="minorHAnsi" w:hAnsiTheme="minorHAnsi" w:cstheme="minorHAnsi"/>
                <w:sz w:val="22"/>
                <w:szCs w:val="22"/>
              </w:rPr>
              <w:t xml:space="preserve"> Hope and opportunity are key drivers and motivators. </w:t>
            </w:r>
          </w:p>
        </w:tc>
      </w:tr>
      <w:tr w:rsidR="00736731" w:rsidRPr="00205848" w:rsidTr="00AD2DCB">
        <w:tc>
          <w:tcPr>
            <w:tcW w:w="8425" w:type="dxa"/>
            <w:gridSpan w:val="2"/>
            <w:tcBorders>
              <w:left w:val="nil"/>
              <w:bottom w:val="nil"/>
              <w:right w:val="nil"/>
            </w:tcBorders>
          </w:tcPr>
          <w:p w:rsidR="00736731" w:rsidRPr="00205848" w:rsidRDefault="00736731" w:rsidP="00AD2DCB">
            <w:pPr>
              <w:pStyle w:val="NormalWeb"/>
              <w:rPr>
                <w:rFonts w:asciiTheme="minorHAnsi" w:hAnsiTheme="minorHAnsi" w:cstheme="minorHAnsi"/>
                <w:sz w:val="22"/>
                <w:szCs w:val="22"/>
              </w:rPr>
            </w:pPr>
          </w:p>
        </w:tc>
      </w:tr>
    </w:tbl>
    <w:p w:rsidR="00736731" w:rsidRPr="00B82F69" w:rsidRDefault="008C35A7" w:rsidP="00034CF4">
      <w:pPr>
        <w:pStyle w:val="NormalWeb"/>
        <w:ind w:left="720" w:hanging="720"/>
        <w:rPr>
          <w:rFonts w:ascii="Arial" w:hAnsi="Arial" w:cs="Arial"/>
          <w:color w:val="FF0000"/>
          <w:sz w:val="23"/>
          <w:szCs w:val="23"/>
          <w:lang w:val="en-US"/>
        </w:rPr>
      </w:pPr>
      <w:r>
        <w:rPr>
          <w:rFonts w:asciiTheme="minorHAnsi" w:hAnsiTheme="minorHAnsi" w:cstheme="minorHAnsi"/>
          <w:sz w:val="22"/>
          <w:szCs w:val="22"/>
        </w:rPr>
        <w:t>10</w:t>
      </w:r>
      <w:r w:rsidR="00736731" w:rsidRPr="00205848">
        <w:rPr>
          <w:rFonts w:asciiTheme="minorHAnsi" w:hAnsiTheme="minorHAnsi" w:cstheme="minorHAnsi"/>
          <w:sz w:val="22"/>
          <w:szCs w:val="22"/>
        </w:rPr>
        <w:tab/>
        <w:t>Incentives work in different ways</w:t>
      </w:r>
      <w:r w:rsidR="00736731">
        <w:rPr>
          <w:rFonts w:asciiTheme="minorHAnsi" w:hAnsiTheme="minorHAnsi" w:cstheme="minorHAnsi"/>
          <w:sz w:val="22"/>
          <w:szCs w:val="22"/>
        </w:rPr>
        <w:t xml:space="preserve"> depending on the individual, </w:t>
      </w:r>
      <w:r w:rsidR="00736731" w:rsidRPr="00205848">
        <w:rPr>
          <w:rFonts w:asciiTheme="minorHAnsi" w:hAnsiTheme="minorHAnsi" w:cstheme="minorHAnsi"/>
          <w:sz w:val="22"/>
          <w:szCs w:val="22"/>
        </w:rPr>
        <w:t xml:space="preserve">their circumstances and generally one size doesn’t fit all. </w:t>
      </w:r>
      <w:r w:rsidR="00736731">
        <w:rPr>
          <w:rFonts w:asciiTheme="minorHAnsi" w:hAnsiTheme="minorHAnsi" w:cstheme="minorHAnsi"/>
          <w:sz w:val="22"/>
          <w:szCs w:val="22"/>
        </w:rPr>
        <w:t xml:space="preserve">It is clear </w:t>
      </w:r>
      <w:r w:rsidR="00736731" w:rsidRPr="00B41A06">
        <w:rPr>
          <w:rFonts w:asciiTheme="minorHAnsi" w:hAnsiTheme="minorHAnsi" w:cstheme="minorHAnsi"/>
          <w:sz w:val="22"/>
          <w:szCs w:val="22"/>
        </w:rPr>
        <w:t xml:space="preserve">that people </w:t>
      </w:r>
      <w:r w:rsidR="00736731">
        <w:rPr>
          <w:rFonts w:asciiTheme="minorHAnsi" w:hAnsiTheme="minorHAnsi" w:cstheme="minorHAnsi"/>
          <w:sz w:val="22"/>
          <w:szCs w:val="22"/>
        </w:rPr>
        <w:t xml:space="preserve">are not </w:t>
      </w:r>
      <w:r w:rsidR="00736731" w:rsidRPr="00B41A06">
        <w:rPr>
          <w:rFonts w:asciiTheme="minorHAnsi" w:hAnsiTheme="minorHAnsi" w:cstheme="minorHAnsi"/>
          <w:sz w:val="22"/>
          <w:szCs w:val="22"/>
        </w:rPr>
        <w:t xml:space="preserve">influenced only by material </w:t>
      </w:r>
      <w:r w:rsidR="00736731" w:rsidRPr="00B41A06">
        <w:rPr>
          <w:rFonts w:asciiTheme="minorHAnsi" w:hAnsiTheme="minorHAnsi" w:cstheme="minorHAnsi"/>
          <w:sz w:val="22"/>
          <w:szCs w:val="22"/>
        </w:rPr>
        <w:lastRenderedPageBreak/>
        <w:t xml:space="preserve">constraints or that the range of </w:t>
      </w:r>
      <w:r w:rsidR="00736731" w:rsidRPr="00736731">
        <w:rPr>
          <w:rFonts w:asciiTheme="minorHAnsi" w:hAnsiTheme="minorHAnsi" w:cstheme="minorHAnsi"/>
          <w:sz w:val="22"/>
          <w:szCs w:val="22"/>
        </w:rPr>
        <w:t>behaviours</w:t>
      </w:r>
      <w:r w:rsidR="00736731" w:rsidRPr="00B41A06">
        <w:rPr>
          <w:rFonts w:asciiTheme="minorHAnsi" w:hAnsiTheme="minorHAnsi" w:cstheme="minorHAnsi"/>
          <w:sz w:val="22"/>
          <w:szCs w:val="22"/>
        </w:rPr>
        <w:t xml:space="preserve"> people display will be tied mostly to changes in material constraints</w:t>
      </w:r>
      <w:r w:rsidR="00736731">
        <w:rPr>
          <w:rFonts w:asciiTheme="minorHAnsi" w:hAnsiTheme="minorHAnsi" w:cstheme="minorHAnsi"/>
          <w:sz w:val="22"/>
          <w:szCs w:val="22"/>
        </w:rPr>
        <w:t xml:space="preserve">, however, </w:t>
      </w:r>
      <w:r w:rsidR="00736731" w:rsidRPr="00736731">
        <w:rPr>
          <w:rFonts w:asciiTheme="minorHAnsi" w:hAnsiTheme="minorHAnsi" w:cstheme="minorHAnsi"/>
          <w:sz w:val="22"/>
          <w:szCs w:val="22"/>
        </w:rPr>
        <w:t xml:space="preserve">financial </w:t>
      </w:r>
      <w:r w:rsidR="00736731">
        <w:rPr>
          <w:rFonts w:asciiTheme="minorHAnsi" w:hAnsiTheme="minorHAnsi" w:cstheme="minorHAnsi"/>
          <w:sz w:val="22"/>
          <w:szCs w:val="22"/>
        </w:rPr>
        <w:t xml:space="preserve">incentives have strong impacts on </w:t>
      </w:r>
      <w:r w:rsidR="00736731" w:rsidRPr="00736731">
        <w:rPr>
          <w:rFonts w:asciiTheme="minorHAnsi" w:hAnsiTheme="minorHAnsi" w:cstheme="minorHAnsi"/>
          <w:sz w:val="22"/>
          <w:szCs w:val="22"/>
        </w:rPr>
        <w:t>behaviour.</w:t>
      </w:r>
      <w:r w:rsidR="00736731" w:rsidRPr="00736731">
        <w:rPr>
          <w:rFonts w:ascii="Arial" w:hAnsi="Arial" w:cs="Arial"/>
          <w:sz w:val="23"/>
          <w:szCs w:val="23"/>
          <w:lang w:val="en-US"/>
        </w:rPr>
        <w:t xml:space="preserve"> </w:t>
      </w:r>
      <w:r w:rsidR="00736731" w:rsidRPr="00205848">
        <w:rPr>
          <w:rFonts w:asciiTheme="minorHAnsi" w:hAnsiTheme="minorHAnsi" w:cstheme="minorHAnsi"/>
          <w:sz w:val="22"/>
          <w:szCs w:val="22"/>
        </w:rPr>
        <w:t xml:space="preserve">For example, some taxation and welfare systems can jointly contribute to </w:t>
      </w:r>
      <w:r w:rsidR="000F4B8F" w:rsidRPr="00205848">
        <w:rPr>
          <w:rFonts w:asciiTheme="minorHAnsi" w:hAnsiTheme="minorHAnsi" w:cstheme="minorHAnsi"/>
          <w:sz w:val="22"/>
          <w:szCs w:val="22"/>
        </w:rPr>
        <w:t>keep</w:t>
      </w:r>
      <w:r w:rsidR="000F4B8F" w:rsidRPr="00736731">
        <w:rPr>
          <w:rFonts w:asciiTheme="minorHAnsi" w:hAnsiTheme="minorHAnsi" w:cstheme="minorHAnsi"/>
          <w:sz w:val="22"/>
          <w:szCs w:val="22"/>
        </w:rPr>
        <w:t xml:space="preserve">ing </w:t>
      </w:r>
      <w:r w:rsidR="000F4B8F" w:rsidRPr="00205848">
        <w:rPr>
          <w:rFonts w:asciiTheme="minorHAnsi" w:hAnsiTheme="minorHAnsi" w:cstheme="minorHAnsi"/>
          <w:sz w:val="22"/>
          <w:szCs w:val="22"/>
        </w:rPr>
        <w:t>some</w:t>
      </w:r>
      <w:r w:rsidR="00736731" w:rsidRPr="00205848">
        <w:rPr>
          <w:rFonts w:asciiTheme="minorHAnsi" w:hAnsiTheme="minorHAnsi" w:cstheme="minorHAnsi"/>
          <w:sz w:val="22"/>
          <w:szCs w:val="22"/>
        </w:rPr>
        <w:t xml:space="preserve"> people on benefits because the withdrawal of means tested benefits that come with entering low-paid work causes there to be no significant increase in total income. An individual may see that the opportunity cost of returning to work is too great for too little a financial return, and this can create a disincentive to </w:t>
      </w:r>
      <w:r w:rsidR="00736731" w:rsidRPr="00736731">
        <w:rPr>
          <w:rFonts w:asciiTheme="minorHAnsi" w:hAnsiTheme="minorHAnsi" w:cstheme="minorHAnsi"/>
          <w:sz w:val="22"/>
          <w:szCs w:val="22"/>
        </w:rPr>
        <w:t>work.</w:t>
      </w:r>
    </w:p>
    <w:p w:rsidR="00176811" w:rsidRPr="00294252" w:rsidRDefault="00176811" w:rsidP="000F4B8F">
      <w:pPr>
        <w:ind w:left="720" w:hanging="720"/>
        <w:rPr>
          <w:rFonts w:cstheme="minorHAnsi"/>
          <w:u w:val="single"/>
        </w:rPr>
      </w:pPr>
      <w:r>
        <w:rPr>
          <w:rFonts w:cstheme="minorHAnsi"/>
        </w:rPr>
        <w:tab/>
      </w:r>
      <w:r w:rsidR="00294252" w:rsidRPr="00294252">
        <w:rPr>
          <w:rFonts w:cstheme="minorHAnsi"/>
          <w:u w:val="single"/>
        </w:rPr>
        <w:t>Economic Growth</w:t>
      </w:r>
    </w:p>
    <w:p w:rsidR="00736731" w:rsidRPr="00C7263A" w:rsidRDefault="008C35A7" w:rsidP="000F4B8F">
      <w:pPr>
        <w:ind w:left="720" w:hanging="720"/>
        <w:rPr>
          <w:rFonts w:cstheme="minorHAnsi"/>
        </w:rPr>
      </w:pPr>
      <w:r>
        <w:rPr>
          <w:rFonts w:cstheme="minorHAnsi"/>
        </w:rPr>
        <w:t>11</w:t>
      </w:r>
      <w:r w:rsidR="000F4B8F">
        <w:rPr>
          <w:rFonts w:cstheme="minorHAnsi"/>
        </w:rPr>
        <w:tab/>
      </w:r>
      <w:r w:rsidR="00736731" w:rsidRPr="00205848">
        <w:rPr>
          <w:rFonts w:eastAsia="Times New Roman" w:cstheme="minorHAnsi"/>
          <w:lang w:eastAsia="en-NZ"/>
        </w:rPr>
        <w:t xml:space="preserve">Economic growth is also an important strategy to minimise harm to vulnerable children and their families. Economic growth stimulates higher employment since labour is a derived demand, that is, an increase in real GDP should cause an outward shift in the aggregate demand for some labour. </w:t>
      </w:r>
      <w:r w:rsidR="00736731">
        <w:rPr>
          <w:rFonts w:eastAsia="Times New Roman" w:cstheme="minorHAnsi"/>
          <w:lang w:eastAsia="en-NZ"/>
        </w:rPr>
        <w:t xml:space="preserve"> </w:t>
      </w:r>
      <w:r w:rsidR="00736731" w:rsidRPr="007E42E4">
        <w:rPr>
          <w:rFonts w:cstheme="minorHAnsi"/>
        </w:rPr>
        <w:t>People not only benefit economically from their jobs; mental and physical health is significantly</w:t>
      </w:r>
      <w:r w:rsidR="00736731">
        <w:rPr>
          <w:rFonts w:cstheme="minorHAnsi"/>
          <w:color w:val="FF0000"/>
        </w:rPr>
        <w:t xml:space="preserve"> </w:t>
      </w:r>
      <w:r w:rsidR="00736731" w:rsidRPr="007E42E4">
        <w:rPr>
          <w:rFonts w:cstheme="minorHAnsi"/>
        </w:rPr>
        <w:t>affected by the psychological distress of unemployment. And the consequences extend far beyond individuals to their families, friends and communities</w:t>
      </w:r>
      <w:r w:rsidR="00736731">
        <w:rPr>
          <w:rFonts w:cstheme="minorHAnsi"/>
        </w:rPr>
        <w:t xml:space="preserve">. </w:t>
      </w:r>
    </w:p>
    <w:p w:rsidR="00736731" w:rsidRDefault="008C35A7" w:rsidP="00736731">
      <w:pPr>
        <w:pStyle w:val="NoSpacing"/>
        <w:ind w:left="720" w:hanging="720"/>
      </w:pPr>
      <w:r>
        <w:t>12</w:t>
      </w:r>
      <w:r w:rsidR="00736731">
        <w:tab/>
        <w:t xml:space="preserve">Unemployment is generally defined as having a surplus of labour relative to demand. A surplus of labour is created by two things: (a) the price of the labour being too high; or (b) the services and goods people are willing to buy can’t be supplied by those unemployed i.e. a poor relationship to international and domestic demand.  </w:t>
      </w:r>
    </w:p>
    <w:p w:rsidR="00736731" w:rsidRDefault="00736731" w:rsidP="00736731">
      <w:pPr>
        <w:pStyle w:val="NoSpacing"/>
        <w:ind w:left="720" w:hanging="720"/>
      </w:pPr>
    </w:p>
    <w:p w:rsidR="00736731" w:rsidRDefault="008C35A7" w:rsidP="00736731">
      <w:pPr>
        <w:ind w:left="720" w:hanging="720"/>
        <w:jc w:val="both"/>
        <w:rPr>
          <w:rFonts w:cstheme="minorHAnsi"/>
        </w:rPr>
      </w:pPr>
      <w:r>
        <w:rPr>
          <w:rFonts w:cstheme="minorHAnsi"/>
        </w:rPr>
        <w:t>13</w:t>
      </w:r>
      <w:r w:rsidR="00736731">
        <w:rPr>
          <w:rFonts w:cstheme="minorHAnsi"/>
        </w:rPr>
        <w:tab/>
        <w:t>There are a range of policy initiatives, on the supply and demand side, which will improve the employment outcomes for vulnerable children, their families and the wider community:</w:t>
      </w:r>
    </w:p>
    <w:p w:rsidR="00736731" w:rsidRPr="00EE2C4B" w:rsidRDefault="00736731" w:rsidP="003866C7">
      <w:pPr>
        <w:pStyle w:val="ListParagraph"/>
        <w:numPr>
          <w:ilvl w:val="0"/>
          <w:numId w:val="1"/>
        </w:numPr>
        <w:spacing w:after="200" w:line="276" w:lineRule="auto"/>
        <w:contextualSpacing/>
        <w:jc w:val="both"/>
        <w:rPr>
          <w:rFonts w:cstheme="minorHAnsi"/>
        </w:rPr>
      </w:pPr>
      <w:r>
        <w:t>i</w:t>
      </w:r>
      <w:r w:rsidRPr="00EE2C4B">
        <w:t>mprovi</w:t>
      </w:r>
      <w:r>
        <w:t xml:space="preserve">ng the quality of education outcomes; </w:t>
      </w:r>
    </w:p>
    <w:p w:rsidR="00736731" w:rsidRPr="00EE2C4B" w:rsidRDefault="00736731" w:rsidP="003866C7">
      <w:pPr>
        <w:pStyle w:val="ListParagraph"/>
        <w:numPr>
          <w:ilvl w:val="0"/>
          <w:numId w:val="1"/>
        </w:numPr>
        <w:spacing w:after="200" w:line="276" w:lineRule="auto"/>
        <w:contextualSpacing/>
        <w:jc w:val="both"/>
        <w:rPr>
          <w:rFonts w:cstheme="minorHAnsi"/>
        </w:rPr>
      </w:pPr>
      <w:r>
        <w:t>i</w:t>
      </w:r>
      <w:r w:rsidRPr="00EE2C4B">
        <w:t>ncreased spending on effective a</w:t>
      </w:r>
      <w:r>
        <w:t>ctive labour market policies;</w:t>
      </w:r>
    </w:p>
    <w:p w:rsidR="00736731" w:rsidRPr="00EE2C4B" w:rsidRDefault="00736731" w:rsidP="003866C7">
      <w:pPr>
        <w:pStyle w:val="ListParagraph"/>
        <w:numPr>
          <w:ilvl w:val="0"/>
          <w:numId w:val="1"/>
        </w:numPr>
        <w:spacing w:after="200" w:line="276" w:lineRule="auto"/>
        <w:contextualSpacing/>
        <w:jc w:val="both"/>
        <w:rPr>
          <w:rFonts w:cstheme="minorHAnsi"/>
        </w:rPr>
      </w:pPr>
      <w:r w:rsidRPr="00EE2C4B">
        <w:t>improving the integration of migra</w:t>
      </w:r>
      <w:r>
        <w:t xml:space="preserve">nts into the labour force; </w:t>
      </w:r>
    </w:p>
    <w:p w:rsidR="00736731" w:rsidRPr="00EE2C4B" w:rsidRDefault="00736731" w:rsidP="003866C7">
      <w:pPr>
        <w:pStyle w:val="ListParagraph"/>
        <w:numPr>
          <w:ilvl w:val="0"/>
          <w:numId w:val="1"/>
        </w:numPr>
        <w:spacing w:after="200" w:line="276" w:lineRule="auto"/>
        <w:contextualSpacing/>
        <w:jc w:val="both"/>
        <w:rPr>
          <w:b/>
        </w:rPr>
      </w:pPr>
      <w:r w:rsidRPr="00EE2C4B">
        <w:t xml:space="preserve"> fostering </w:t>
      </w:r>
      <w:r>
        <w:t xml:space="preserve">flexible </w:t>
      </w:r>
      <w:r w:rsidRPr="00EE2C4B">
        <w:t>labour market participation and fighting discrimination</w:t>
      </w:r>
      <w:r>
        <w:t xml:space="preserve">; </w:t>
      </w:r>
      <w:r w:rsidRPr="00EE2C4B">
        <w:t xml:space="preserve"> </w:t>
      </w:r>
    </w:p>
    <w:p w:rsidR="00736731" w:rsidRPr="00334915" w:rsidRDefault="00736731" w:rsidP="003866C7">
      <w:pPr>
        <w:pStyle w:val="ListParagraph"/>
        <w:numPr>
          <w:ilvl w:val="0"/>
          <w:numId w:val="1"/>
        </w:numPr>
        <w:spacing w:after="200" w:line="276" w:lineRule="auto"/>
        <w:contextualSpacing/>
        <w:jc w:val="both"/>
        <w:rPr>
          <w:b/>
        </w:rPr>
      </w:pPr>
      <w:r w:rsidRPr="00EE2C4B">
        <w:t>avoiding high and long-las</w:t>
      </w:r>
      <w:r>
        <w:t>ting unemployment benefits;</w:t>
      </w:r>
    </w:p>
    <w:p w:rsidR="00736731" w:rsidRPr="007D7BEE" w:rsidRDefault="00736731" w:rsidP="003866C7">
      <w:pPr>
        <w:pStyle w:val="ListParagraph"/>
        <w:numPr>
          <w:ilvl w:val="0"/>
          <w:numId w:val="1"/>
        </w:numPr>
        <w:spacing w:after="200" w:line="276" w:lineRule="auto"/>
        <w:contextualSpacing/>
        <w:jc w:val="both"/>
        <w:rPr>
          <w:b/>
        </w:rPr>
      </w:pPr>
      <w:r>
        <w:t xml:space="preserve">ensuring benefit and income levels limit poor health/malnutrition, enable children to effectively engage in early childhood education and </w:t>
      </w:r>
      <w:r w:rsidRPr="00736731">
        <w:t xml:space="preserve">out of school care and allow </w:t>
      </w:r>
      <w:r>
        <w:t xml:space="preserve">the unemployed to job search;  </w:t>
      </w:r>
    </w:p>
    <w:p w:rsidR="00736731" w:rsidRPr="007D7BEE" w:rsidRDefault="00736731" w:rsidP="003866C7">
      <w:pPr>
        <w:pStyle w:val="ListParagraph"/>
        <w:numPr>
          <w:ilvl w:val="0"/>
          <w:numId w:val="1"/>
        </w:numPr>
        <w:spacing w:after="200" w:line="276" w:lineRule="auto"/>
        <w:contextualSpacing/>
        <w:rPr>
          <w:rFonts w:cstheme="minorHAnsi"/>
        </w:rPr>
      </w:pPr>
      <w:r w:rsidRPr="007D7BEE">
        <w:rPr>
          <w:rFonts w:cstheme="minorHAnsi"/>
        </w:rPr>
        <w:t xml:space="preserve">remove or reduce  capita/ income tax distortions, increasing investment in “productive” activity leading to </w:t>
      </w:r>
      <w:r>
        <w:rPr>
          <w:rFonts w:cstheme="minorHAnsi"/>
        </w:rPr>
        <w:t>increases</w:t>
      </w:r>
      <w:r w:rsidRPr="007D7BEE">
        <w:rPr>
          <w:rFonts w:cstheme="minorHAnsi"/>
        </w:rPr>
        <w:t xml:space="preserve"> in employment;</w:t>
      </w:r>
      <w:r>
        <w:rPr>
          <w:rFonts w:cstheme="minorHAnsi"/>
        </w:rPr>
        <w:t xml:space="preserve"> and</w:t>
      </w:r>
    </w:p>
    <w:p w:rsidR="00736731" w:rsidRPr="004F26AE" w:rsidRDefault="00736731" w:rsidP="003866C7">
      <w:pPr>
        <w:pStyle w:val="ListParagraph"/>
        <w:numPr>
          <w:ilvl w:val="0"/>
          <w:numId w:val="1"/>
        </w:numPr>
        <w:spacing w:after="200" w:line="276" w:lineRule="auto"/>
        <w:contextualSpacing/>
        <w:jc w:val="both"/>
        <w:rPr>
          <w:b/>
        </w:rPr>
      </w:pPr>
      <w:r w:rsidRPr="00EE2C4B">
        <w:t>increasing t</w:t>
      </w:r>
      <w:r>
        <w:t>he flexibility of wage setting.</w:t>
      </w:r>
    </w:p>
    <w:p w:rsidR="00736731" w:rsidRDefault="008C35A7" w:rsidP="00F62CC2">
      <w:pPr>
        <w:ind w:left="720" w:hanging="720"/>
        <w:jc w:val="both"/>
        <w:rPr>
          <w:rFonts w:cstheme="minorHAnsi"/>
        </w:rPr>
      </w:pPr>
      <w:r>
        <w:t>14</w:t>
      </w:r>
      <w:r w:rsidR="00736731">
        <w:tab/>
      </w:r>
      <w:r w:rsidR="00736731" w:rsidRPr="004F26AE">
        <w:t>In the context</w:t>
      </w:r>
      <w:r w:rsidR="00736731">
        <w:rPr>
          <w:rFonts w:cstheme="minorHAnsi"/>
        </w:rPr>
        <w:t xml:space="preserve"> of a worldwide recession, international restraints on credit and limited new Government spending, the value for money and effectiveness of the supply of services for vulnerable children and their families is very important. </w:t>
      </w:r>
    </w:p>
    <w:p w:rsidR="00294252" w:rsidRPr="00294252" w:rsidRDefault="00294252" w:rsidP="00F62CC2">
      <w:pPr>
        <w:ind w:left="720" w:hanging="720"/>
        <w:jc w:val="both"/>
        <w:rPr>
          <w:u w:val="single"/>
        </w:rPr>
      </w:pPr>
      <w:r>
        <w:rPr>
          <w:rFonts w:cstheme="minorHAnsi"/>
        </w:rPr>
        <w:tab/>
      </w:r>
      <w:r w:rsidRPr="00294252">
        <w:rPr>
          <w:u w:val="single"/>
        </w:rPr>
        <w:t>Improving Productivity</w:t>
      </w:r>
    </w:p>
    <w:p w:rsidR="00F62CC2" w:rsidRPr="00F62CC2" w:rsidRDefault="008C35A7" w:rsidP="00F62CC2">
      <w:pPr>
        <w:spacing w:after="225" w:line="240" w:lineRule="atLeast"/>
        <w:ind w:left="720" w:hanging="720"/>
        <w:rPr>
          <w:rFonts w:eastAsia="Times New Roman" w:cstheme="minorHAnsi"/>
          <w:lang w:val="en" w:eastAsia="en-NZ"/>
        </w:rPr>
      </w:pPr>
      <w:r>
        <w:rPr>
          <w:rFonts w:eastAsia="Times New Roman" w:cstheme="minorHAnsi"/>
          <w:lang w:val="en" w:eastAsia="en-NZ"/>
        </w:rPr>
        <w:t>15</w:t>
      </w:r>
      <w:r w:rsidR="00F62CC2">
        <w:rPr>
          <w:rFonts w:eastAsia="Times New Roman" w:cstheme="minorHAnsi"/>
          <w:lang w:val="en" w:eastAsia="en-NZ"/>
        </w:rPr>
        <w:tab/>
      </w:r>
      <w:r w:rsidR="00F62CC2" w:rsidRPr="00F62CC2">
        <w:rPr>
          <w:rFonts w:eastAsia="Times New Roman" w:cstheme="minorHAnsi"/>
          <w:lang w:val="en" w:eastAsia="en-NZ"/>
        </w:rPr>
        <w:t xml:space="preserve">Productivity is the mechanism through which </w:t>
      </w:r>
      <w:r w:rsidR="0098277C" w:rsidRPr="00F62CC2">
        <w:rPr>
          <w:rFonts w:eastAsia="Times New Roman" w:cstheme="minorHAnsi"/>
          <w:lang w:val="en" w:eastAsia="en-NZ"/>
        </w:rPr>
        <w:t>society’s</w:t>
      </w:r>
      <w:r w:rsidR="00F62CC2" w:rsidRPr="00F62CC2">
        <w:rPr>
          <w:rFonts w:eastAsia="Times New Roman" w:cstheme="minorHAnsi"/>
          <w:lang w:val="en" w:eastAsia="en-NZ"/>
        </w:rPr>
        <w:t xml:space="preserve"> progress.</w:t>
      </w:r>
      <w:r w:rsidR="00F62CC2">
        <w:rPr>
          <w:rFonts w:eastAsia="Times New Roman" w:cstheme="minorHAnsi"/>
          <w:lang w:val="en" w:eastAsia="en-NZ"/>
        </w:rPr>
        <w:t xml:space="preserve"> </w:t>
      </w:r>
      <w:r w:rsidR="00F62CC2" w:rsidRPr="00F62CC2">
        <w:rPr>
          <w:rFonts w:eastAsia="Times New Roman" w:cstheme="minorHAnsi"/>
          <w:lang w:val="en" w:eastAsia="en-NZ"/>
        </w:rPr>
        <w:t xml:space="preserve">Generally speaking, the higher the productivity of a country, the more wellbeing it can afford and the more wellbeing options it has to choose from. Wellbeing can include things like quality healthcare and education; excellent roads and other infrastructure; safer communities; stronger support for people that need it; and sustainability of the environment. Amongst the options </w:t>
      </w:r>
      <w:r w:rsidR="00F62CC2" w:rsidRPr="00F62CC2">
        <w:rPr>
          <w:rFonts w:eastAsia="Times New Roman" w:cstheme="minorHAnsi"/>
          <w:lang w:val="en" w:eastAsia="en-NZ"/>
        </w:rPr>
        <w:lastRenderedPageBreak/>
        <w:t>may also be the ability to reduce taxation rates while still providing a level of government services that meets public expectations.</w:t>
      </w:r>
    </w:p>
    <w:p w:rsidR="00F62CC2" w:rsidRPr="00F62CC2" w:rsidRDefault="008C35A7" w:rsidP="00F62CC2">
      <w:pPr>
        <w:pStyle w:val="NormalWeb"/>
        <w:spacing w:line="240" w:lineRule="atLeast"/>
        <w:ind w:left="720" w:hanging="720"/>
        <w:rPr>
          <w:rFonts w:asciiTheme="minorHAnsi" w:eastAsia="Times New Roman" w:hAnsiTheme="minorHAnsi" w:cstheme="minorHAnsi"/>
          <w:sz w:val="22"/>
          <w:szCs w:val="22"/>
          <w:lang w:val="en" w:eastAsia="en-NZ"/>
        </w:rPr>
      </w:pPr>
      <w:r>
        <w:rPr>
          <w:rFonts w:asciiTheme="minorHAnsi" w:eastAsia="Times New Roman" w:hAnsiTheme="minorHAnsi" w:cstheme="minorHAnsi"/>
          <w:sz w:val="22"/>
          <w:szCs w:val="22"/>
          <w:lang w:val="en" w:eastAsia="en-NZ"/>
        </w:rPr>
        <w:t>16</w:t>
      </w:r>
      <w:r w:rsidR="00F62CC2">
        <w:rPr>
          <w:rFonts w:asciiTheme="minorHAnsi" w:eastAsia="Times New Roman" w:hAnsiTheme="minorHAnsi" w:cstheme="minorHAnsi"/>
          <w:sz w:val="22"/>
          <w:szCs w:val="22"/>
          <w:lang w:val="en" w:eastAsia="en-NZ"/>
        </w:rPr>
        <w:tab/>
      </w:r>
      <w:r w:rsidR="00F62CC2" w:rsidRPr="00F62CC2">
        <w:rPr>
          <w:rFonts w:asciiTheme="minorHAnsi" w:eastAsia="Times New Roman" w:hAnsiTheme="minorHAnsi" w:cstheme="minorHAnsi"/>
          <w:sz w:val="22"/>
          <w:szCs w:val="22"/>
          <w:lang w:val="en" w:eastAsia="en-NZ"/>
        </w:rPr>
        <w:t>High productivity societies are those that make smart choices in areas such as savings and investment versus current consumption. New Zealand has slipped from one of the wealthiest countries in the 1950s to now around 26</w:t>
      </w:r>
      <w:r w:rsidR="00F62CC2" w:rsidRPr="00F62CC2">
        <w:rPr>
          <w:rFonts w:asciiTheme="minorHAnsi" w:eastAsia="Times New Roman" w:hAnsiTheme="minorHAnsi" w:cstheme="minorHAnsi"/>
          <w:sz w:val="22"/>
          <w:szCs w:val="22"/>
          <w:vertAlign w:val="superscript"/>
          <w:lang w:val="en" w:eastAsia="en-NZ"/>
        </w:rPr>
        <w:t>th</w:t>
      </w:r>
      <w:r w:rsidR="00F62CC2" w:rsidRPr="00F62CC2">
        <w:rPr>
          <w:rFonts w:asciiTheme="minorHAnsi" w:eastAsia="Times New Roman" w:hAnsiTheme="minorHAnsi" w:cstheme="minorHAnsi"/>
          <w:sz w:val="22"/>
          <w:szCs w:val="22"/>
          <w:lang w:val="en" w:eastAsia="en-NZ"/>
        </w:rPr>
        <w:t xml:space="preserve"> in the OECD. It is not the case that our productivity has shrunk. Rather, the rate of increase in productivity has been behind other countries and our income growth has been slower.</w:t>
      </w:r>
    </w:p>
    <w:p w:rsidR="00F62CC2" w:rsidRPr="00F62CC2" w:rsidRDefault="008C35A7" w:rsidP="00F62CC2">
      <w:pPr>
        <w:spacing w:after="225" w:line="240" w:lineRule="atLeast"/>
        <w:ind w:left="720" w:hanging="720"/>
        <w:rPr>
          <w:rFonts w:eastAsia="Times New Roman" w:cstheme="minorHAnsi"/>
          <w:lang w:val="en" w:eastAsia="en-NZ"/>
        </w:rPr>
      </w:pPr>
      <w:r>
        <w:rPr>
          <w:rFonts w:eastAsia="Times New Roman" w:cstheme="minorHAnsi"/>
          <w:lang w:val="en" w:eastAsia="en-NZ"/>
        </w:rPr>
        <w:t>17</w:t>
      </w:r>
      <w:r w:rsidR="00F62CC2">
        <w:rPr>
          <w:rFonts w:eastAsia="Times New Roman" w:cstheme="minorHAnsi"/>
          <w:lang w:val="en" w:eastAsia="en-NZ"/>
        </w:rPr>
        <w:tab/>
      </w:r>
      <w:r w:rsidR="00F62CC2" w:rsidRPr="00F62CC2">
        <w:rPr>
          <w:rFonts w:eastAsia="Times New Roman" w:cstheme="minorHAnsi"/>
          <w:lang w:val="en" w:eastAsia="en-NZ"/>
        </w:rPr>
        <w:t>Lifting productivity is ultimately the product of individual and organizational decisions about how to generate value. There are multiple determinants of such activity and decision making, including:</w:t>
      </w:r>
    </w:p>
    <w:p w:rsidR="00F62CC2" w:rsidRPr="00F62CC2" w:rsidRDefault="00F62CC2" w:rsidP="003866C7">
      <w:pPr>
        <w:pStyle w:val="NoSpacing"/>
        <w:numPr>
          <w:ilvl w:val="0"/>
          <w:numId w:val="2"/>
        </w:numPr>
        <w:rPr>
          <w:lang w:val="en" w:eastAsia="en-NZ"/>
        </w:rPr>
      </w:pPr>
      <w:r w:rsidRPr="00F62CC2">
        <w:rPr>
          <w:lang w:val="en" w:eastAsia="en-NZ"/>
        </w:rPr>
        <w:t>the degree of openness and competition in markets, which are generally regarded as central to lifting productivity by improving how and where resources are used and incentivizing innovation and performance;</w:t>
      </w:r>
      <w:r w:rsidRPr="00F62CC2">
        <w:rPr>
          <w:lang w:val="en" w:eastAsia="en-NZ"/>
        </w:rPr>
        <w:br/>
        <w:t> </w:t>
      </w:r>
    </w:p>
    <w:p w:rsidR="00F62CC2" w:rsidRPr="00F62CC2" w:rsidRDefault="00F62CC2" w:rsidP="003866C7">
      <w:pPr>
        <w:pStyle w:val="NoSpacing"/>
        <w:numPr>
          <w:ilvl w:val="0"/>
          <w:numId w:val="2"/>
        </w:numPr>
        <w:rPr>
          <w:lang w:val="en" w:eastAsia="en-NZ"/>
        </w:rPr>
      </w:pPr>
      <w:r w:rsidRPr="00F62CC2">
        <w:rPr>
          <w:lang w:val="en" w:eastAsia="en-NZ"/>
        </w:rPr>
        <w:t>investment and other strategic choices made by organisations (e.g., using new and smarter technology), which depend on the quality of governance and management;</w:t>
      </w:r>
      <w:r w:rsidRPr="00F62CC2">
        <w:rPr>
          <w:lang w:val="en" w:eastAsia="en-NZ"/>
        </w:rPr>
        <w:br/>
      </w:r>
      <w:r w:rsidRPr="00F62CC2">
        <w:rPr>
          <w:rFonts w:ascii="Calibri" w:hAnsi="Calibri" w:cs="Calibri"/>
          <w:lang w:val="en" w:eastAsia="en-NZ"/>
        </w:rPr>
        <w:t> </w:t>
      </w:r>
    </w:p>
    <w:p w:rsidR="00F62CC2" w:rsidRPr="00F62CC2" w:rsidRDefault="00F62CC2" w:rsidP="003866C7">
      <w:pPr>
        <w:pStyle w:val="NoSpacing"/>
        <w:numPr>
          <w:ilvl w:val="0"/>
          <w:numId w:val="2"/>
        </w:numPr>
        <w:rPr>
          <w:lang w:val="en" w:eastAsia="en-NZ"/>
        </w:rPr>
      </w:pPr>
      <w:r w:rsidRPr="00F62CC2">
        <w:rPr>
          <w:lang w:val="en" w:eastAsia="en-NZ"/>
        </w:rPr>
        <w:t>the attitude and effort of</w:t>
      </w:r>
      <w:r w:rsidR="00FA636F">
        <w:rPr>
          <w:lang w:val="en" w:eastAsia="en-NZ"/>
        </w:rPr>
        <w:t xml:space="preserve"> employers and </w:t>
      </w:r>
      <w:r w:rsidRPr="00F62CC2">
        <w:rPr>
          <w:lang w:val="en" w:eastAsia="en-NZ"/>
        </w:rPr>
        <w:t xml:space="preserve"> employees toward ongoing training, finding business improvements and helping implement beneficial change;</w:t>
      </w:r>
      <w:r w:rsidRPr="00F62CC2">
        <w:rPr>
          <w:lang w:val="en" w:eastAsia="en-NZ"/>
        </w:rPr>
        <w:br/>
        <w:t> </w:t>
      </w:r>
    </w:p>
    <w:p w:rsidR="00F62CC2" w:rsidRPr="00F62CC2" w:rsidRDefault="00F62CC2" w:rsidP="003866C7">
      <w:pPr>
        <w:pStyle w:val="NoSpacing"/>
        <w:numPr>
          <w:ilvl w:val="0"/>
          <w:numId w:val="2"/>
        </w:numPr>
        <w:rPr>
          <w:lang w:val="en" w:eastAsia="en-NZ"/>
        </w:rPr>
      </w:pPr>
      <w:r w:rsidRPr="00F62CC2">
        <w:rPr>
          <w:lang w:val="en" w:eastAsia="en-NZ"/>
        </w:rPr>
        <w:t>the quality of</w:t>
      </w:r>
      <w:r w:rsidR="00FA636F">
        <w:rPr>
          <w:lang w:val="en" w:eastAsia="en-NZ"/>
        </w:rPr>
        <w:t xml:space="preserve"> and access to</w:t>
      </w:r>
      <w:r w:rsidRPr="00F62CC2">
        <w:rPr>
          <w:lang w:val="en" w:eastAsia="en-NZ"/>
        </w:rPr>
        <w:t xml:space="preserve"> education and the attitude of students to the value of learning and skill development;</w:t>
      </w:r>
      <w:r w:rsidRPr="00F62CC2">
        <w:rPr>
          <w:lang w:val="en" w:eastAsia="en-NZ"/>
        </w:rPr>
        <w:br/>
      </w:r>
      <w:r w:rsidRPr="00F62CC2">
        <w:rPr>
          <w:rFonts w:ascii="Calibri" w:hAnsi="Calibri" w:cs="Calibri"/>
          <w:lang w:val="en" w:eastAsia="en-NZ"/>
        </w:rPr>
        <w:t> </w:t>
      </w:r>
    </w:p>
    <w:p w:rsidR="00F62CC2" w:rsidRPr="00F62CC2" w:rsidRDefault="00F62CC2" w:rsidP="003866C7">
      <w:pPr>
        <w:pStyle w:val="NoSpacing"/>
        <w:numPr>
          <w:ilvl w:val="0"/>
          <w:numId w:val="2"/>
        </w:numPr>
        <w:rPr>
          <w:lang w:val="en" w:eastAsia="en-NZ"/>
        </w:rPr>
      </w:pPr>
      <w:r w:rsidRPr="00F62CC2">
        <w:rPr>
          <w:lang w:val="en" w:eastAsia="en-NZ"/>
        </w:rPr>
        <w:t>the quality of Government (and local government) decisions, in shaping and deciding where public money is spent and where it will come from, and implementing and operating the framework itself; and</w:t>
      </w:r>
      <w:r w:rsidRPr="00F62CC2">
        <w:rPr>
          <w:lang w:val="en" w:eastAsia="en-NZ"/>
        </w:rPr>
        <w:br/>
        <w:t> </w:t>
      </w:r>
    </w:p>
    <w:p w:rsidR="00FA636F" w:rsidRDefault="00F62CC2" w:rsidP="003866C7">
      <w:pPr>
        <w:pStyle w:val="NoSpacing"/>
        <w:numPr>
          <w:ilvl w:val="0"/>
          <w:numId w:val="2"/>
        </w:numPr>
        <w:rPr>
          <w:lang w:val="en" w:eastAsia="en-NZ"/>
        </w:rPr>
      </w:pPr>
      <w:r w:rsidRPr="00F62CC2">
        <w:rPr>
          <w:lang w:val="en" w:eastAsia="en-NZ"/>
        </w:rPr>
        <w:t>in homes in the aspirations of individuals and families, and the decisions taken to achieve those aspirations.</w:t>
      </w:r>
    </w:p>
    <w:p w:rsidR="00E1121A" w:rsidRPr="00E1121A" w:rsidRDefault="00E1121A" w:rsidP="00E1121A">
      <w:pPr>
        <w:pStyle w:val="NoSpacing"/>
        <w:ind w:left="1080"/>
        <w:rPr>
          <w:lang w:val="en" w:eastAsia="en-NZ"/>
        </w:rPr>
      </w:pPr>
    </w:p>
    <w:p w:rsidR="00F62CC2" w:rsidRPr="00F62CC2" w:rsidRDefault="008C35A7" w:rsidP="00FA636F">
      <w:pPr>
        <w:autoSpaceDE w:val="0"/>
        <w:autoSpaceDN w:val="0"/>
        <w:adjustRightInd w:val="0"/>
        <w:ind w:left="720" w:hanging="720"/>
        <w:rPr>
          <w:rFonts w:cstheme="minorHAnsi"/>
        </w:rPr>
      </w:pPr>
      <w:r>
        <w:rPr>
          <w:rFonts w:cstheme="minorHAnsi"/>
        </w:rPr>
        <w:t>18</w:t>
      </w:r>
      <w:r w:rsidR="00F62CC2">
        <w:rPr>
          <w:rFonts w:cstheme="minorHAnsi"/>
        </w:rPr>
        <w:tab/>
      </w:r>
      <w:r w:rsidR="00F62CC2" w:rsidRPr="00F62CC2">
        <w:rPr>
          <w:rFonts w:cstheme="minorHAnsi"/>
        </w:rPr>
        <w:t xml:space="preserve">Competition and </w:t>
      </w:r>
      <w:r w:rsidR="00153601">
        <w:rPr>
          <w:rFonts w:cstheme="minorHAnsi"/>
        </w:rPr>
        <w:t xml:space="preserve">strong incentives for </w:t>
      </w:r>
      <w:r w:rsidR="00F2151C">
        <w:rPr>
          <w:rFonts w:cstheme="minorHAnsi"/>
        </w:rPr>
        <w:t xml:space="preserve">voluntary </w:t>
      </w:r>
      <w:r w:rsidR="00F62CC2" w:rsidRPr="00F62CC2">
        <w:rPr>
          <w:rFonts w:cstheme="minorHAnsi"/>
        </w:rPr>
        <w:t>co-</w:t>
      </w:r>
      <w:r w:rsidR="00F62CC2">
        <w:rPr>
          <w:rFonts w:cstheme="minorHAnsi"/>
        </w:rPr>
        <w:t>ordination</w:t>
      </w:r>
      <w:r w:rsidR="00F62CC2" w:rsidRPr="00F62CC2">
        <w:rPr>
          <w:rFonts w:cstheme="minorHAnsi"/>
        </w:rPr>
        <w:t xml:space="preserve"> are arguably the key drivers of productivity </w:t>
      </w:r>
      <w:r w:rsidR="00153013">
        <w:rPr>
          <w:rFonts w:cstheme="minorHAnsi"/>
        </w:rPr>
        <w:t xml:space="preserve">in the private sector </w:t>
      </w:r>
      <w:r w:rsidR="00F62CC2" w:rsidRPr="00F62CC2">
        <w:rPr>
          <w:rFonts w:cstheme="minorHAnsi"/>
        </w:rPr>
        <w:t>as a greater level of competitive intensity encourages new business and increases the pressure on existing providers to improve the quality of their products and services (</w:t>
      </w:r>
      <w:r w:rsidR="00F62CC2">
        <w:rPr>
          <w:rFonts w:cstheme="minorHAnsi"/>
        </w:rPr>
        <w:t xml:space="preserve">See </w:t>
      </w:r>
      <w:r w:rsidR="00F62CC2" w:rsidRPr="00F62CC2">
        <w:rPr>
          <w:rFonts w:cstheme="minorHAnsi"/>
          <w:bCs/>
          <w:i/>
        </w:rPr>
        <w:t>Productivity and Competition, An OFT perspective on the Productivity debate</w:t>
      </w:r>
      <w:r w:rsidR="00F62CC2" w:rsidRPr="00F62CC2">
        <w:rPr>
          <w:rFonts w:cstheme="minorHAnsi"/>
          <w:bCs/>
        </w:rPr>
        <w:t xml:space="preserve">, </w:t>
      </w:r>
      <w:r w:rsidR="00F62CC2" w:rsidRPr="00F62CC2">
        <w:rPr>
          <w:rFonts w:cstheme="minorHAnsi"/>
        </w:rPr>
        <w:t>Office of Fair Trading, United Kingdom</w:t>
      </w:r>
      <w:r w:rsidR="004418BB">
        <w:rPr>
          <w:rFonts w:cstheme="minorHAnsi"/>
        </w:rPr>
        <w:t>, 2007</w:t>
      </w:r>
      <w:r w:rsidR="00F62CC2" w:rsidRPr="00F62CC2">
        <w:rPr>
          <w:rFonts w:cstheme="minorHAnsi"/>
        </w:rPr>
        <w:t>)</w:t>
      </w:r>
    </w:p>
    <w:p w:rsidR="00F62CC2" w:rsidRDefault="00294252" w:rsidP="00F62CC2">
      <w:pPr>
        <w:spacing w:line="240" w:lineRule="atLeast"/>
        <w:rPr>
          <w:rFonts w:eastAsia="Times New Roman" w:cstheme="minorHAnsi"/>
          <w:lang w:val="en" w:eastAsia="en-NZ"/>
        </w:rPr>
      </w:pPr>
      <w:r>
        <w:rPr>
          <w:rFonts w:eastAsia="Times New Roman" w:cstheme="minorHAnsi"/>
          <w:lang w:val="en" w:eastAsia="en-NZ"/>
        </w:rPr>
        <w:t>Comments on the key d</w:t>
      </w:r>
      <w:r w:rsidR="00F62CC2">
        <w:rPr>
          <w:rFonts w:eastAsia="Times New Roman" w:cstheme="minorHAnsi"/>
          <w:lang w:val="en" w:eastAsia="en-NZ"/>
        </w:rPr>
        <w:t xml:space="preserve">rivers of the </w:t>
      </w:r>
      <w:r w:rsidR="009C3996">
        <w:rPr>
          <w:rFonts w:eastAsia="Times New Roman" w:cstheme="minorHAnsi"/>
          <w:lang w:val="en" w:eastAsia="en-NZ"/>
        </w:rPr>
        <w:t xml:space="preserve">AEG </w:t>
      </w:r>
      <w:r w:rsidR="00F62CC2">
        <w:rPr>
          <w:rFonts w:eastAsia="Times New Roman" w:cstheme="minorHAnsi"/>
          <w:lang w:val="en" w:eastAsia="en-NZ"/>
        </w:rPr>
        <w:t>Report</w:t>
      </w:r>
    </w:p>
    <w:p w:rsidR="00F62CC2" w:rsidRDefault="008C35A7" w:rsidP="00F62CC2">
      <w:pPr>
        <w:spacing w:line="240" w:lineRule="atLeast"/>
        <w:rPr>
          <w:rFonts w:eastAsia="Times New Roman" w:cstheme="minorHAnsi"/>
          <w:lang w:val="en" w:eastAsia="en-NZ"/>
        </w:rPr>
      </w:pPr>
      <w:r>
        <w:rPr>
          <w:rFonts w:eastAsia="Times New Roman" w:cstheme="minorHAnsi"/>
          <w:lang w:val="en" w:eastAsia="en-NZ"/>
        </w:rPr>
        <w:t>19</w:t>
      </w:r>
      <w:r w:rsidR="00FA636F">
        <w:rPr>
          <w:rFonts w:eastAsia="Times New Roman" w:cstheme="minorHAnsi"/>
          <w:lang w:val="en" w:eastAsia="en-NZ"/>
        </w:rPr>
        <w:tab/>
        <w:t xml:space="preserve">The key </w:t>
      </w:r>
      <w:r w:rsidR="004677E8">
        <w:rPr>
          <w:rFonts w:eastAsia="Times New Roman" w:cstheme="minorHAnsi"/>
          <w:lang w:val="en" w:eastAsia="en-NZ"/>
        </w:rPr>
        <w:t>component</w:t>
      </w:r>
      <w:r w:rsidR="00716685">
        <w:rPr>
          <w:rFonts w:eastAsia="Times New Roman" w:cstheme="minorHAnsi"/>
          <w:lang w:val="en" w:eastAsia="en-NZ"/>
        </w:rPr>
        <w:t>s</w:t>
      </w:r>
      <w:r w:rsidR="004677E8">
        <w:rPr>
          <w:rFonts w:eastAsia="Times New Roman" w:cstheme="minorHAnsi"/>
          <w:lang w:val="en" w:eastAsia="en-NZ"/>
        </w:rPr>
        <w:t xml:space="preserve"> of </w:t>
      </w:r>
      <w:r w:rsidR="00FA636F">
        <w:rPr>
          <w:rFonts w:eastAsia="Times New Roman" w:cstheme="minorHAnsi"/>
          <w:lang w:val="en" w:eastAsia="en-NZ"/>
        </w:rPr>
        <w:t>the report</w:t>
      </w:r>
      <w:r w:rsidR="004677E8">
        <w:rPr>
          <w:rFonts w:eastAsia="Times New Roman" w:cstheme="minorHAnsi"/>
          <w:lang w:val="en" w:eastAsia="en-NZ"/>
        </w:rPr>
        <w:t xml:space="preserve"> are</w:t>
      </w:r>
      <w:r w:rsidR="00FA636F">
        <w:rPr>
          <w:rFonts w:eastAsia="Times New Roman" w:cstheme="minorHAnsi"/>
          <w:lang w:val="en" w:eastAsia="en-NZ"/>
        </w:rPr>
        <w:t xml:space="preserve">: </w:t>
      </w:r>
    </w:p>
    <w:p w:rsidR="004677E8" w:rsidRDefault="004677E8" w:rsidP="003866C7">
      <w:pPr>
        <w:pStyle w:val="ListParagraph"/>
        <w:numPr>
          <w:ilvl w:val="0"/>
          <w:numId w:val="3"/>
        </w:numPr>
        <w:spacing w:line="240" w:lineRule="atLeast"/>
        <w:rPr>
          <w:rFonts w:eastAsia="Times New Roman" w:cstheme="minorHAnsi"/>
          <w:lang w:val="en" w:eastAsia="en-NZ"/>
        </w:rPr>
      </w:pPr>
      <w:r>
        <w:rPr>
          <w:rFonts w:eastAsia="Times New Roman" w:cstheme="minorHAnsi"/>
          <w:lang w:val="en" w:eastAsia="en-NZ"/>
        </w:rPr>
        <w:t>our high relative levels of poverty;</w:t>
      </w:r>
    </w:p>
    <w:p w:rsidR="004677E8" w:rsidRDefault="004677E8" w:rsidP="003866C7">
      <w:pPr>
        <w:pStyle w:val="ListParagraph"/>
        <w:numPr>
          <w:ilvl w:val="0"/>
          <w:numId w:val="3"/>
        </w:numPr>
        <w:spacing w:line="240" w:lineRule="atLeast"/>
        <w:rPr>
          <w:rFonts w:eastAsia="Times New Roman" w:cstheme="minorHAnsi"/>
          <w:lang w:val="en" w:eastAsia="en-NZ"/>
        </w:rPr>
      </w:pPr>
      <w:r>
        <w:rPr>
          <w:rFonts w:eastAsia="Times New Roman" w:cstheme="minorHAnsi"/>
          <w:lang w:val="en" w:eastAsia="en-NZ"/>
        </w:rPr>
        <w:t>the need to effectively measure poverty;</w:t>
      </w:r>
    </w:p>
    <w:p w:rsidR="004677E8" w:rsidRDefault="004677E8" w:rsidP="003866C7">
      <w:pPr>
        <w:pStyle w:val="ListParagraph"/>
        <w:numPr>
          <w:ilvl w:val="0"/>
          <w:numId w:val="3"/>
        </w:numPr>
        <w:spacing w:line="240" w:lineRule="atLeast"/>
        <w:rPr>
          <w:rFonts w:eastAsia="Times New Roman" w:cstheme="minorHAnsi"/>
          <w:lang w:val="en" w:eastAsia="en-NZ"/>
        </w:rPr>
      </w:pPr>
      <w:r>
        <w:rPr>
          <w:rFonts w:eastAsia="Times New Roman" w:cstheme="minorHAnsi"/>
          <w:lang w:val="en" w:eastAsia="en-NZ"/>
        </w:rPr>
        <w:t>the centrality of employment as the key  solution to child poverty;</w:t>
      </w:r>
    </w:p>
    <w:p w:rsidR="004677E8" w:rsidRDefault="002316C1" w:rsidP="003866C7">
      <w:pPr>
        <w:pStyle w:val="ListParagraph"/>
        <w:numPr>
          <w:ilvl w:val="0"/>
          <w:numId w:val="3"/>
        </w:numPr>
        <w:spacing w:line="240" w:lineRule="atLeast"/>
        <w:rPr>
          <w:rFonts w:eastAsia="Times New Roman" w:cstheme="minorHAnsi"/>
          <w:lang w:val="en" w:eastAsia="en-NZ"/>
        </w:rPr>
      </w:pPr>
      <w:r>
        <w:rPr>
          <w:rFonts w:eastAsia="Times New Roman" w:cstheme="minorHAnsi"/>
          <w:lang w:val="en" w:eastAsia="en-NZ"/>
        </w:rPr>
        <w:t>that income increases</w:t>
      </w:r>
      <w:r w:rsidR="004677E8">
        <w:rPr>
          <w:rFonts w:eastAsia="Times New Roman" w:cstheme="minorHAnsi"/>
          <w:lang w:val="en" w:eastAsia="en-NZ"/>
        </w:rPr>
        <w:t xml:space="preserve"> not </w:t>
      </w:r>
      <w:r w:rsidR="009C3996">
        <w:rPr>
          <w:rFonts w:eastAsia="Times New Roman" w:cstheme="minorHAnsi"/>
          <w:lang w:val="en" w:eastAsia="en-NZ"/>
        </w:rPr>
        <w:t xml:space="preserve">changes to </w:t>
      </w:r>
      <w:r w:rsidR="004677E8">
        <w:rPr>
          <w:rFonts w:eastAsia="Times New Roman" w:cstheme="minorHAnsi"/>
          <w:lang w:val="en" w:eastAsia="en-NZ"/>
        </w:rPr>
        <w:t>behavior</w:t>
      </w:r>
      <w:r w:rsidR="0098277C">
        <w:rPr>
          <w:rFonts w:eastAsia="Times New Roman" w:cstheme="minorHAnsi"/>
          <w:lang w:val="en" w:eastAsia="en-NZ"/>
        </w:rPr>
        <w:t xml:space="preserve"> or incentives</w:t>
      </w:r>
      <w:r w:rsidR="004677E8">
        <w:rPr>
          <w:rFonts w:eastAsia="Times New Roman" w:cstheme="minorHAnsi"/>
          <w:lang w:val="en" w:eastAsia="en-NZ"/>
        </w:rPr>
        <w:t xml:space="preserve"> are the key barrier to reducing child poverty; and</w:t>
      </w:r>
    </w:p>
    <w:p w:rsidR="004677E8" w:rsidRPr="004677E8" w:rsidRDefault="004677E8" w:rsidP="003866C7">
      <w:pPr>
        <w:pStyle w:val="ListParagraph"/>
        <w:numPr>
          <w:ilvl w:val="0"/>
          <w:numId w:val="3"/>
        </w:numPr>
        <w:spacing w:line="240" w:lineRule="atLeast"/>
        <w:rPr>
          <w:rFonts w:eastAsia="Times New Roman" w:cstheme="minorHAnsi"/>
          <w:lang w:val="en" w:eastAsia="en-NZ"/>
        </w:rPr>
      </w:pPr>
      <w:r>
        <w:rPr>
          <w:rFonts w:eastAsia="Times New Roman" w:cstheme="minorHAnsi"/>
          <w:lang w:val="en" w:eastAsia="en-NZ"/>
        </w:rPr>
        <w:t>that children have different but equal needs throughout their life cycle</w:t>
      </w:r>
      <w:r w:rsidR="004D30B5">
        <w:rPr>
          <w:rFonts w:eastAsia="Times New Roman" w:cstheme="minorHAnsi"/>
          <w:lang w:val="en" w:eastAsia="en-NZ"/>
        </w:rPr>
        <w:t xml:space="preserve"> i.e. a universal approach to targeting</w:t>
      </w:r>
      <w:r w:rsidR="009C3996">
        <w:rPr>
          <w:rFonts w:eastAsia="Times New Roman" w:cstheme="minorHAnsi"/>
          <w:lang w:val="en" w:eastAsia="en-NZ"/>
        </w:rPr>
        <w:t xml:space="preserve"> is </w:t>
      </w:r>
      <w:r w:rsidR="00A730E8">
        <w:rPr>
          <w:rFonts w:eastAsia="Times New Roman" w:cstheme="minorHAnsi"/>
          <w:lang w:val="en" w:eastAsia="en-NZ"/>
        </w:rPr>
        <w:t xml:space="preserve">generally </w:t>
      </w:r>
      <w:r w:rsidR="009C3996">
        <w:rPr>
          <w:rFonts w:eastAsia="Times New Roman" w:cstheme="minorHAnsi"/>
          <w:lang w:val="en" w:eastAsia="en-NZ"/>
        </w:rPr>
        <w:t>required</w:t>
      </w:r>
      <w:r>
        <w:rPr>
          <w:rFonts w:eastAsia="Times New Roman" w:cstheme="minorHAnsi"/>
          <w:lang w:val="en" w:eastAsia="en-NZ"/>
        </w:rPr>
        <w:t xml:space="preserve">. </w:t>
      </w:r>
    </w:p>
    <w:p w:rsidR="00736731" w:rsidRDefault="00736731">
      <w:pPr>
        <w:rPr>
          <w:rFonts w:ascii="Helvetica" w:hAnsi="Helvetica" w:cs="Helvetica"/>
          <w:color w:val="FF0000"/>
        </w:rPr>
      </w:pPr>
    </w:p>
    <w:p w:rsidR="00BE2339" w:rsidRPr="00581B49" w:rsidRDefault="00BE2339" w:rsidP="00BE2339">
      <w:pPr>
        <w:ind w:left="1440" w:hanging="720"/>
        <w:rPr>
          <w:rFonts w:cstheme="minorHAnsi"/>
          <w:u w:val="single"/>
        </w:rPr>
      </w:pPr>
      <w:r w:rsidRPr="00581B49">
        <w:rPr>
          <w:rFonts w:cstheme="minorHAnsi"/>
          <w:u w:val="single"/>
        </w:rPr>
        <w:lastRenderedPageBreak/>
        <w:t>Measurement of Poverty</w:t>
      </w:r>
    </w:p>
    <w:p w:rsidR="00E1121A" w:rsidRDefault="008C35A7" w:rsidP="00E1121A">
      <w:pPr>
        <w:ind w:left="720" w:hanging="720"/>
      </w:pPr>
      <w:r>
        <w:rPr>
          <w:rFonts w:cstheme="minorHAnsi"/>
        </w:rPr>
        <w:t>20</w:t>
      </w:r>
      <w:r w:rsidR="004677E8" w:rsidRPr="00716685">
        <w:rPr>
          <w:rFonts w:cstheme="minorHAnsi"/>
        </w:rPr>
        <w:tab/>
      </w:r>
      <w:r w:rsidR="00716685" w:rsidRPr="00716685">
        <w:rPr>
          <w:rFonts w:cstheme="minorHAnsi"/>
        </w:rPr>
        <w:t xml:space="preserve">Determining </w:t>
      </w:r>
      <w:r w:rsidR="00716685">
        <w:rPr>
          <w:rFonts w:cstheme="minorHAnsi"/>
        </w:rPr>
        <w:t xml:space="preserve">how to </w:t>
      </w:r>
      <w:r w:rsidR="004677E8" w:rsidRPr="00716685">
        <w:rPr>
          <w:rFonts w:cstheme="minorHAnsi"/>
        </w:rPr>
        <w:t>m</w:t>
      </w:r>
      <w:r w:rsidR="00716685">
        <w:rPr>
          <w:rFonts w:cstheme="minorHAnsi"/>
        </w:rPr>
        <w:t xml:space="preserve">easure </w:t>
      </w:r>
      <w:r w:rsidR="004677E8" w:rsidRPr="00716685">
        <w:rPr>
          <w:rFonts w:cstheme="minorHAnsi"/>
        </w:rPr>
        <w:t>poverty</w:t>
      </w:r>
      <w:r w:rsidR="00716685">
        <w:rPr>
          <w:rFonts w:cstheme="minorHAnsi"/>
        </w:rPr>
        <w:t>, the level of poverty and its impact</w:t>
      </w:r>
      <w:r w:rsidR="004677E8" w:rsidRPr="00716685">
        <w:rPr>
          <w:rFonts w:cstheme="minorHAnsi"/>
        </w:rPr>
        <w:t xml:space="preserve"> are not straight forward exercises. </w:t>
      </w:r>
      <w:r w:rsidR="00E1121A">
        <w:rPr>
          <w:lang w:eastAsia="en-NZ"/>
        </w:rPr>
        <w:t>For example, the</w:t>
      </w:r>
      <w:r w:rsidR="00E1121A">
        <w:t xml:space="preserve"> New Zealand </w:t>
      </w:r>
      <w:hyperlink r:id="rId9" w:history="1">
        <w:r w:rsidR="00E1121A">
          <w:rPr>
            <w:rStyle w:val="Hyperlink"/>
            <w:color w:val="auto"/>
            <w:u w:val="none"/>
          </w:rPr>
          <w:t>Family Violence Death Review Committee (FVDRC</w:t>
        </w:r>
        <w:r w:rsidR="00E1121A" w:rsidRPr="00762A03">
          <w:rPr>
            <w:rStyle w:val="Hyperlink"/>
            <w:color w:val="auto"/>
            <w:u w:val="none"/>
          </w:rPr>
          <w:t>)</w:t>
        </w:r>
      </w:hyperlink>
      <w:r w:rsidR="00E1121A">
        <w:t xml:space="preserve"> </w:t>
      </w:r>
      <w:hyperlink r:id="rId10" w:history="1">
        <w:r w:rsidR="00E1121A">
          <w:rPr>
            <w:rStyle w:val="Hyperlink"/>
            <w:color w:val="auto"/>
            <w:u w:val="none"/>
          </w:rPr>
          <w:t>submission</w:t>
        </w:r>
      </w:hyperlink>
      <w:r w:rsidR="00E1121A">
        <w:t xml:space="preserve"> on the Green Paper notes:</w:t>
      </w:r>
    </w:p>
    <w:p w:rsidR="00E1121A" w:rsidRDefault="00E1121A" w:rsidP="00E1121A">
      <w:pPr>
        <w:ind w:left="720"/>
      </w:pPr>
      <w:r>
        <w:t>“</w:t>
      </w:r>
      <w:r>
        <w:rPr>
          <w:i/>
          <w:iCs/>
        </w:rPr>
        <w:t>Low socioeconomic status (typically defined as family income below the poverty line, under-employment, and low education) is one of the major environmental conditions associated with child maltreatment. However, while the research shows an association between physical abuse, neglect and poverty, it is not a causal pathway. The majority of families living in poverty raise their children well</w:t>
      </w:r>
      <w:r>
        <w:t xml:space="preserve">.” </w:t>
      </w:r>
    </w:p>
    <w:p w:rsidR="00716685" w:rsidRDefault="008C35A7" w:rsidP="00E1121A">
      <w:pPr>
        <w:shd w:val="clear" w:color="auto" w:fill="FFFFFF"/>
        <w:ind w:left="720" w:hanging="720"/>
        <w:rPr>
          <w:rFonts w:cstheme="minorHAnsi"/>
          <w:color w:val="000000"/>
        </w:rPr>
      </w:pPr>
      <w:r>
        <w:rPr>
          <w:rFonts w:cstheme="minorHAnsi"/>
        </w:rPr>
        <w:t>21</w:t>
      </w:r>
      <w:r w:rsidR="00E1121A">
        <w:rPr>
          <w:rFonts w:cstheme="minorHAnsi"/>
        </w:rPr>
        <w:tab/>
        <w:t xml:space="preserve">Our </w:t>
      </w:r>
      <w:r w:rsidR="00716685" w:rsidRPr="00716685">
        <w:rPr>
          <w:rFonts w:cstheme="minorHAnsi"/>
          <w:color w:val="000000"/>
        </w:rPr>
        <w:t>view is that</w:t>
      </w:r>
      <w:r w:rsidR="00E1121A">
        <w:rPr>
          <w:rFonts w:cstheme="minorHAnsi"/>
          <w:color w:val="000000"/>
        </w:rPr>
        <w:t>, in general,</w:t>
      </w:r>
      <w:r w:rsidR="00716685" w:rsidRPr="00716685">
        <w:rPr>
          <w:rFonts w:cstheme="minorHAnsi"/>
          <w:color w:val="000000"/>
        </w:rPr>
        <w:t xml:space="preserve"> the </w:t>
      </w:r>
      <w:r w:rsidR="00716685">
        <w:rPr>
          <w:rFonts w:cstheme="minorHAnsi"/>
          <w:color w:val="000000"/>
        </w:rPr>
        <w:t xml:space="preserve">most useful </w:t>
      </w:r>
      <w:r w:rsidR="00716685" w:rsidRPr="00716685">
        <w:rPr>
          <w:rFonts w:cstheme="minorHAnsi"/>
          <w:color w:val="000000"/>
        </w:rPr>
        <w:t>measure of poor outcomes are low consumption (</w:t>
      </w:r>
      <w:r w:rsidR="0098277C">
        <w:rPr>
          <w:rFonts w:cstheme="minorHAnsi"/>
          <w:color w:val="000000"/>
        </w:rPr>
        <w:t xml:space="preserve">i.e. </w:t>
      </w:r>
      <w:r w:rsidR="00716685" w:rsidRPr="00716685">
        <w:rPr>
          <w:rFonts w:cstheme="minorHAnsi"/>
          <w:color w:val="000000"/>
        </w:rPr>
        <w:t>deprivation); not relative income measures. The latter is a distributional measure not a poverty measure</w:t>
      </w:r>
      <w:r w:rsidR="00716685">
        <w:rPr>
          <w:rFonts w:cstheme="minorHAnsi"/>
          <w:color w:val="000000"/>
        </w:rPr>
        <w:t xml:space="preserve"> </w:t>
      </w:r>
      <w:r w:rsidR="00716685" w:rsidRPr="00716685">
        <w:rPr>
          <w:rFonts w:cstheme="minorHAnsi"/>
          <w:i/>
          <w:color w:val="000000"/>
        </w:rPr>
        <w:t>per se</w:t>
      </w:r>
      <w:r w:rsidR="00716685" w:rsidRPr="00716685">
        <w:rPr>
          <w:rFonts w:cstheme="minorHAnsi"/>
          <w:color w:val="000000"/>
        </w:rPr>
        <w:t>.</w:t>
      </w:r>
      <w:r w:rsidR="00716685">
        <w:rPr>
          <w:rFonts w:cstheme="minorHAnsi"/>
          <w:color w:val="000000"/>
        </w:rPr>
        <w:t xml:space="preserve"> Relative measures suffer from not capturing the dynamic of changing income</w:t>
      </w:r>
      <w:r w:rsidR="003F3194">
        <w:rPr>
          <w:rFonts w:cstheme="minorHAnsi"/>
          <w:color w:val="000000"/>
        </w:rPr>
        <w:t xml:space="preserve"> and outcomes</w:t>
      </w:r>
      <w:r w:rsidR="00716685">
        <w:rPr>
          <w:rFonts w:cstheme="minorHAnsi"/>
          <w:color w:val="000000"/>
        </w:rPr>
        <w:t xml:space="preserve"> with</w:t>
      </w:r>
      <w:r w:rsidR="003F3194">
        <w:rPr>
          <w:rFonts w:cstheme="minorHAnsi"/>
          <w:color w:val="000000"/>
        </w:rPr>
        <w:t>in</w:t>
      </w:r>
      <w:r w:rsidR="00BD4FEF">
        <w:rPr>
          <w:rFonts w:cstheme="minorHAnsi"/>
          <w:color w:val="000000"/>
        </w:rPr>
        <w:t xml:space="preserve"> a population, but has</w:t>
      </w:r>
      <w:r w:rsidR="00716685">
        <w:rPr>
          <w:rFonts w:cstheme="minorHAnsi"/>
          <w:color w:val="000000"/>
        </w:rPr>
        <w:t xml:space="preserve"> the advantage of identifying what segments of the population have very low </w:t>
      </w:r>
      <w:r w:rsidR="003F3194">
        <w:rPr>
          <w:rFonts w:cstheme="minorHAnsi"/>
          <w:color w:val="000000"/>
        </w:rPr>
        <w:t xml:space="preserve">and persistence </w:t>
      </w:r>
      <w:r w:rsidR="00716685">
        <w:rPr>
          <w:rFonts w:cstheme="minorHAnsi"/>
          <w:color w:val="000000"/>
        </w:rPr>
        <w:t xml:space="preserve">relative incomes i.e. beneficiary families; solo parents and </w:t>
      </w:r>
      <w:r w:rsidR="00880AE4">
        <w:rPr>
          <w:rFonts w:cstheme="minorHAnsi"/>
          <w:color w:val="000000"/>
        </w:rPr>
        <w:t xml:space="preserve">some </w:t>
      </w:r>
      <w:r w:rsidR="00716685">
        <w:rPr>
          <w:rFonts w:cstheme="minorHAnsi"/>
          <w:color w:val="000000"/>
        </w:rPr>
        <w:t xml:space="preserve">families with Maori and Pasifika children. </w:t>
      </w:r>
    </w:p>
    <w:p w:rsidR="002241F6" w:rsidRDefault="008C35A7" w:rsidP="00E1121A">
      <w:pPr>
        <w:shd w:val="clear" w:color="auto" w:fill="FFFFFF"/>
        <w:ind w:left="720" w:hanging="720"/>
      </w:pPr>
      <w:r>
        <w:rPr>
          <w:rFonts w:cstheme="minorHAnsi"/>
          <w:color w:val="000000"/>
        </w:rPr>
        <w:t>22</w:t>
      </w:r>
      <w:r w:rsidR="002241F6">
        <w:rPr>
          <w:rFonts w:cstheme="minorHAnsi"/>
          <w:color w:val="000000"/>
        </w:rPr>
        <w:tab/>
      </w:r>
      <w:r w:rsidR="002241F6">
        <w:rPr>
          <w:rFonts w:cstheme="minorHAnsi"/>
          <w:lang w:val="en"/>
        </w:rPr>
        <w:t xml:space="preserve">Relative poverty levels are snapshot picture in time that omits the transitional dynamics between poverty levels. Mobility statistics supply additional information about the fraction </w:t>
      </w:r>
      <w:r w:rsidR="00240464">
        <w:rPr>
          <w:rFonts w:cstheme="minorHAnsi"/>
          <w:lang w:val="en"/>
        </w:rPr>
        <w:t>that</w:t>
      </w:r>
      <w:r w:rsidR="002241F6">
        <w:rPr>
          <w:rFonts w:cstheme="minorHAnsi"/>
          <w:lang w:val="en"/>
        </w:rPr>
        <w:t xml:space="preserve"> </w:t>
      </w:r>
      <w:r w:rsidR="00240464">
        <w:rPr>
          <w:rFonts w:cstheme="minorHAnsi"/>
          <w:lang w:val="en"/>
        </w:rPr>
        <w:t xml:space="preserve">leave a given </w:t>
      </w:r>
      <w:r w:rsidR="002241F6">
        <w:rPr>
          <w:rFonts w:cstheme="minorHAnsi"/>
          <w:lang w:val="en"/>
        </w:rPr>
        <w:t>poverty level. For example, one study finds that in a sixteen year period (1975 to 1991 in the U.S.) only 5% of those in the lower fifth of the income level were still in that level while 95% transitioned to a higher income category, see “</w:t>
      </w:r>
      <w:r w:rsidR="006B7C54">
        <w:rPr>
          <w:rFonts w:cstheme="minorHAnsi"/>
          <w:i/>
          <w:lang w:val="en"/>
        </w:rPr>
        <w:t xml:space="preserve">Income Mobility in the US </w:t>
      </w:r>
      <w:r w:rsidR="002241F6" w:rsidRPr="002241F6">
        <w:rPr>
          <w:rFonts w:cstheme="minorHAnsi"/>
          <w:i/>
          <w:lang w:val="en"/>
        </w:rPr>
        <w:t>from 1996 to 2005</w:t>
      </w:r>
      <w:r w:rsidR="002241F6">
        <w:rPr>
          <w:rFonts w:cstheme="minorHAnsi"/>
          <w:lang w:val="en"/>
        </w:rPr>
        <w:t>”, Dept of the U</w:t>
      </w:r>
      <w:r w:rsidR="002A3DDF">
        <w:rPr>
          <w:rFonts w:cstheme="minorHAnsi"/>
          <w:lang w:val="en"/>
        </w:rPr>
        <w:t xml:space="preserve">nited </w:t>
      </w:r>
      <w:r w:rsidR="002241F6">
        <w:rPr>
          <w:rFonts w:cstheme="minorHAnsi"/>
          <w:lang w:val="en"/>
        </w:rPr>
        <w:t>S</w:t>
      </w:r>
      <w:r w:rsidR="002A3DDF">
        <w:rPr>
          <w:rFonts w:cstheme="minorHAnsi"/>
          <w:lang w:val="en"/>
        </w:rPr>
        <w:t>tates</w:t>
      </w:r>
      <w:r w:rsidR="00B156E4">
        <w:rPr>
          <w:rFonts w:cstheme="minorHAnsi"/>
          <w:lang w:val="en"/>
        </w:rPr>
        <w:t xml:space="preserve"> </w:t>
      </w:r>
      <w:r w:rsidR="002241F6">
        <w:rPr>
          <w:rFonts w:cstheme="minorHAnsi"/>
          <w:lang w:val="en"/>
        </w:rPr>
        <w:t xml:space="preserve">Treasury, 2007. </w:t>
      </w:r>
      <w:r w:rsidR="002241F6">
        <w:rPr>
          <w:rFonts w:cstheme="minorHAnsi"/>
          <w:vertAlign w:val="superscript"/>
          <w:lang w:val="en"/>
        </w:rPr>
        <w:t xml:space="preserve">  </w:t>
      </w:r>
    </w:p>
    <w:p w:rsidR="00E53446" w:rsidRDefault="008C35A7" w:rsidP="00E87BA3">
      <w:pPr>
        <w:shd w:val="clear" w:color="auto" w:fill="FFFFFF"/>
        <w:ind w:left="720" w:hanging="720"/>
        <w:rPr>
          <w:rFonts w:cstheme="minorHAnsi"/>
        </w:rPr>
      </w:pPr>
      <w:r>
        <w:rPr>
          <w:rFonts w:cstheme="minorHAnsi"/>
        </w:rPr>
        <w:t>23</w:t>
      </w:r>
      <w:r w:rsidR="003F3194">
        <w:rPr>
          <w:rFonts w:cstheme="minorHAnsi"/>
        </w:rPr>
        <w:tab/>
        <w:t xml:space="preserve">Perhaps the most insightful </w:t>
      </w:r>
      <w:r w:rsidR="00E87BA3">
        <w:rPr>
          <w:rFonts w:cstheme="minorHAnsi"/>
        </w:rPr>
        <w:t xml:space="preserve">New Zealand </w:t>
      </w:r>
      <w:r w:rsidR="003F3194">
        <w:rPr>
          <w:rFonts w:cstheme="minorHAnsi"/>
        </w:rPr>
        <w:t xml:space="preserve">research on </w:t>
      </w:r>
      <w:r w:rsidR="00E87BA3">
        <w:rPr>
          <w:rFonts w:cstheme="minorHAnsi"/>
        </w:rPr>
        <w:t xml:space="preserve">these issues </w:t>
      </w:r>
      <w:r w:rsidR="003F3194">
        <w:rPr>
          <w:rFonts w:cstheme="minorHAnsi"/>
        </w:rPr>
        <w:t xml:space="preserve">is </w:t>
      </w:r>
      <w:r w:rsidR="00E87BA3">
        <w:rPr>
          <w:rFonts w:cstheme="minorHAnsi"/>
        </w:rPr>
        <w:t xml:space="preserve"> “</w:t>
      </w:r>
      <w:r w:rsidR="00E53446" w:rsidRPr="004A4BA3">
        <w:rPr>
          <w:rFonts w:cstheme="minorHAnsi"/>
          <w:i/>
        </w:rPr>
        <w:t xml:space="preserve">Dynamics of Income and Deprivation in New Zealand, 2002‐2009, A descriptive analysis of the Survey </w:t>
      </w:r>
      <w:r w:rsidR="00E87BA3" w:rsidRPr="004A4BA3">
        <w:rPr>
          <w:rFonts w:cstheme="minorHAnsi"/>
          <w:i/>
        </w:rPr>
        <w:t>of Family</w:t>
      </w:r>
      <w:r w:rsidR="00E87BA3">
        <w:rPr>
          <w:rFonts w:cstheme="minorHAnsi"/>
        </w:rPr>
        <w:t xml:space="preserve">, </w:t>
      </w:r>
      <w:r w:rsidR="00E87BA3" w:rsidRPr="004A4BA3">
        <w:rPr>
          <w:rFonts w:cstheme="minorHAnsi"/>
          <w:i/>
        </w:rPr>
        <w:t>Income and Employment</w:t>
      </w:r>
      <w:r w:rsidR="004A4BA3" w:rsidRPr="004A4BA3">
        <w:rPr>
          <w:rFonts w:cstheme="minorHAnsi"/>
          <w:i/>
        </w:rPr>
        <w:t>”</w:t>
      </w:r>
      <w:r w:rsidR="00E87BA3" w:rsidRPr="004A4BA3">
        <w:rPr>
          <w:rFonts w:cstheme="minorHAnsi"/>
          <w:i/>
        </w:rPr>
        <w:t>,</w:t>
      </w:r>
      <w:r w:rsidR="00E87BA3">
        <w:rPr>
          <w:rFonts w:cstheme="minorHAnsi"/>
        </w:rPr>
        <w:t xml:space="preserve"> </w:t>
      </w:r>
      <w:r w:rsidR="00E53446">
        <w:rPr>
          <w:rFonts w:cstheme="minorHAnsi"/>
        </w:rPr>
        <w:t xml:space="preserve">Kristie Carter </w:t>
      </w:r>
      <w:r w:rsidR="00E87BA3">
        <w:rPr>
          <w:rFonts w:cstheme="minorHAnsi"/>
        </w:rPr>
        <w:t xml:space="preserve">Fiona, </w:t>
      </w:r>
      <w:r w:rsidR="00E53446" w:rsidRPr="006B0C1E">
        <w:rPr>
          <w:rFonts w:cstheme="minorHAnsi"/>
        </w:rPr>
        <w:t>Imlach Gunasekara</w:t>
      </w:r>
      <w:r w:rsidR="005D1594">
        <w:rPr>
          <w:rFonts w:cstheme="minorHAnsi"/>
        </w:rPr>
        <w:t xml:space="preserve"> (</w:t>
      </w:r>
      <w:r w:rsidR="00E53446" w:rsidRPr="006B0C1E">
        <w:rPr>
          <w:rFonts w:cstheme="minorHAnsi"/>
        </w:rPr>
        <w:t>2012</w:t>
      </w:r>
      <w:r w:rsidR="005D1594">
        <w:rPr>
          <w:rFonts w:cstheme="minorHAnsi"/>
        </w:rPr>
        <w:t>)</w:t>
      </w:r>
      <w:r w:rsidR="00E87BA3">
        <w:rPr>
          <w:rFonts w:cstheme="minorHAnsi"/>
        </w:rPr>
        <w:t>”, which argues:</w:t>
      </w:r>
    </w:p>
    <w:p w:rsidR="00E87BA3" w:rsidRPr="00E87BA3" w:rsidRDefault="00E53446" w:rsidP="003866C7">
      <w:pPr>
        <w:pStyle w:val="ListParagraph"/>
        <w:numPr>
          <w:ilvl w:val="0"/>
          <w:numId w:val="4"/>
        </w:numPr>
        <w:shd w:val="clear" w:color="auto" w:fill="FFFFFF"/>
        <w:rPr>
          <w:rFonts w:cstheme="minorHAnsi"/>
        </w:rPr>
      </w:pPr>
      <w:r w:rsidRPr="00BE0125">
        <w:t>substantial income mobility</w:t>
      </w:r>
      <w:r w:rsidR="004D30B5">
        <w:t xml:space="preserve">, both up and down </w:t>
      </w:r>
      <w:r w:rsidRPr="00BE0125">
        <w:t xml:space="preserve">though </w:t>
      </w:r>
      <w:r w:rsidR="00E87BA3">
        <w:t xml:space="preserve">the </w:t>
      </w:r>
      <w:r w:rsidRPr="00BE0125">
        <w:t>‘typ</w:t>
      </w:r>
      <w:r w:rsidR="00E87BA3">
        <w:t>ical’ relative position remains;</w:t>
      </w:r>
    </w:p>
    <w:p w:rsidR="00E53446" w:rsidRPr="00E87BA3" w:rsidRDefault="00E87BA3" w:rsidP="003866C7">
      <w:pPr>
        <w:pStyle w:val="ListParagraph"/>
        <w:numPr>
          <w:ilvl w:val="0"/>
          <w:numId w:val="4"/>
        </w:numPr>
        <w:shd w:val="clear" w:color="auto" w:fill="FFFFFF"/>
        <w:rPr>
          <w:rFonts w:cstheme="minorHAnsi"/>
        </w:rPr>
      </w:pPr>
      <w:r>
        <w:t>g</w:t>
      </w:r>
      <w:r w:rsidR="00E53446" w:rsidRPr="00BE0125">
        <w:t>enerally, those with the lowest relative inco</w:t>
      </w:r>
      <w:r>
        <w:t>mes had a rise in real income</w:t>
      </w:r>
      <w:r w:rsidR="004D30B5">
        <w:t xml:space="preserve"> </w:t>
      </w:r>
      <w:r w:rsidR="00E53446" w:rsidRPr="00BE0125">
        <w:t>and those with the highest relative income had a fall in real income</w:t>
      </w:r>
      <w:r>
        <w:t>;</w:t>
      </w:r>
    </w:p>
    <w:p w:rsidR="00E53446" w:rsidRPr="00E87BA3" w:rsidRDefault="00E53446" w:rsidP="003866C7">
      <w:pPr>
        <w:pStyle w:val="ListParagraph"/>
        <w:numPr>
          <w:ilvl w:val="0"/>
          <w:numId w:val="4"/>
        </w:numPr>
        <w:shd w:val="clear" w:color="auto" w:fill="FFFFFF"/>
        <w:rPr>
          <w:rFonts w:cstheme="minorHAnsi"/>
        </w:rPr>
      </w:pPr>
      <w:r w:rsidRPr="00BE0125">
        <w:t>there was substantial income</w:t>
      </w:r>
      <w:r w:rsidR="00E87BA3">
        <w:t xml:space="preserve"> mobility</w:t>
      </w:r>
      <w:r w:rsidR="004D30B5">
        <w:t xml:space="preserve"> i.e. </w:t>
      </w:r>
      <w:r w:rsidRPr="00E87BA3">
        <w:rPr>
          <w:bCs/>
        </w:rPr>
        <w:t>16%</w:t>
      </w:r>
      <w:r w:rsidRPr="00E87BA3">
        <w:rPr>
          <w:b/>
          <w:bCs/>
        </w:rPr>
        <w:t xml:space="preserve"> </w:t>
      </w:r>
      <w:r w:rsidRPr="00BE0125">
        <w:t>had low income in 5 or more of the 7 years surveyed</w:t>
      </w:r>
      <w:r w:rsidR="00E87BA3">
        <w:t xml:space="preserve"> while </w:t>
      </w:r>
      <w:r w:rsidRPr="00E87BA3">
        <w:rPr>
          <w:bCs/>
        </w:rPr>
        <w:t xml:space="preserve">6% </w:t>
      </w:r>
      <w:r w:rsidRPr="00BE0125">
        <w:t>were in deprivation at 2 or more of the 3 deprivation surveys</w:t>
      </w:r>
      <w:r w:rsidR="004D30B5">
        <w:t xml:space="preserve"> undertaken</w:t>
      </w:r>
      <w:r w:rsidR="00E87BA3">
        <w:t>;  and</w:t>
      </w:r>
    </w:p>
    <w:p w:rsidR="00E53446" w:rsidRPr="00E87BA3" w:rsidRDefault="00E87BA3" w:rsidP="003866C7">
      <w:pPr>
        <w:pStyle w:val="ListParagraph"/>
        <w:numPr>
          <w:ilvl w:val="0"/>
          <w:numId w:val="4"/>
        </w:numPr>
        <w:shd w:val="clear" w:color="auto" w:fill="FFFFFF"/>
        <w:rPr>
          <w:rFonts w:cstheme="minorHAnsi"/>
        </w:rPr>
      </w:pPr>
      <w:r>
        <w:t>r</w:t>
      </w:r>
      <w:r w:rsidR="00E53446" w:rsidRPr="00BE0125">
        <w:t>oughly two thirds of those with a low income in one survey had chronic low income (i.e. average income over the 7 years below the average low income)</w:t>
      </w:r>
      <w:r>
        <w:t xml:space="preserve">. </w:t>
      </w:r>
    </w:p>
    <w:p w:rsidR="00E87BA3" w:rsidRDefault="00E87BA3" w:rsidP="00E53446">
      <w:pPr>
        <w:pStyle w:val="NoSpacing"/>
        <w:rPr>
          <w:b/>
          <w:bCs/>
        </w:rPr>
      </w:pPr>
    </w:p>
    <w:p w:rsidR="006105FA" w:rsidRPr="006105FA" w:rsidRDefault="008C35A7" w:rsidP="005B3CEB">
      <w:pPr>
        <w:pStyle w:val="NoSpacing"/>
        <w:ind w:left="720" w:hanging="720"/>
        <w:rPr>
          <w:bCs/>
        </w:rPr>
      </w:pPr>
      <w:r>
        <w:rPr>
          <w:bCs/>
        </w:rPr>
        <w:t>24</w:t>
      </w:r>
      <w:r w:rsidR="006105FA">
        <w:rPr>
          <w:bCs/>
        </w:rPr>
        <w:tab/>
      </w:r>
      <w:r w:rsidR="005B3CEB">
        <w:rPr>
          <w:bCs/>
        </w:rPr>
        <w:t>T</w:t>
      </w:r>
      <w:r w:rsidR="00CD7718">
        <w:rPr>
          <w:bCs/>
        </w:rPr>
        <w:t>he t</w:t>
      </w:r>
      <w:r w:rsidR="006105FA" w:rsidRPr="005B3CEB">
        <w:rPr>
          <w:bCs/>
        </w:rPr>
        <w:t xml:space="preserve">able </w:t>
      </w:r>
      <w:r w:rsidR="00CD7718">
        <w:rPr>
          <w:bCs/>
        </w:rPr>
        <w:t>below</w:t>
      </w:r>
      <w:r w:rsidR="005B3CEB">
        <w:rPr>
          <w:bCs/>
        </w:rPr>
        <w:t xml:space="preserve"> </w:t>
      </w:r>
      <w:r w:rsidR="005B3CEB" w:rsidRPr="005B3CEB">
        <w:rPr>
          <w:bCs/>
        </w:rPr>
        <w:t>presents the characteristics of people with persistent low income and those more likely to have persistent low income, and the characteristics of people in persistent deprivation and more likely to be in persistent deprivation</w:t>
      </w:r>
      <w:r w:rsidR="00762A03">
        <w:rPr>
          <w:bCs/>
        </w:rPr>
        <w:t xml:space="preserve"> in the paper</w:t>
      </w:r>
      <w:r w:rsidR="005B3CEB" w:rsidRPr="005B3CEB">
        <w:rPr>
          <w:bCs/>
        </w:rPr>
        <w:t xml:space="preserve">. </w:t>
      </w:r>
    </w:p>
    <w:p w:rsidR="005B3CEB" w:rsidRDefault="005B3CEB" w:rsidP="005B3CEB">
      <w:pPr>
        <w:pStyle w:val="NoSpacing"/>
        <w:rPr>
          <w:b/>
          <w:bCs/>
        </w:rPr>
      </w:pPr>
    </w:p>
    <w:p w:rsidR="004418BB" w:rsidRDefault="004418BB" w:rsidP="005B3CEB">
      <w:pPr>
        <w:pStyle w:val="NoSpacing"/>
        <w:rPr>
          <w:b/>
          <w:bCs/>
        </w:rPr>
      </w:pPr>
    </w:p>
    <w:p w:rsidR="004418BB" w:rsidRDefault="004418BB" w:rsidP="005B3CEB">
      <w:pPr>
        <w:pStyle w:val="NoSpacing"/>
        <w:rPr>
          <w:b/>
          <w:bCs/>
        </w:rPr>
      </w:pPr>
    </w:p>
    <w:p w:rsidR="004418BB" w:rsidRDefault="004418BB" w:rsidP="005B3CEB">
      <w:pPr>
        <w:pStyle w:val="NoSpacing"/>
        <w:rPr>
          <w:b/>
          <w:bCs/>
        </w:rPr>
      </w:pPr>
    </w:p>
    <w:p w:rsidR="004418BB" w:rsidRDefault="004418BB" w:rsidP="005B3CEB">
      <w:pPr>
        <w:pStyle w:val="NoSpacing"/>
        <w:rPr>
          <w:b/>
          <w:bCs/>
        </w:rPr>
      </w:pPr>
    </w:p>
    <w:p w:rsidR="005B3CEB" w:rsidRDefault="005B3CEB" w:rsidP="005B3CEB">
      <w:pPr>
        <w:pStyle w:val="NoSpacing"/>
        <w:ind w:left="720"/>
        <w:rPr>
          <w:b/>
          <w:bCs/>
        </w:rPr>
      </w:pPr>
    </w:p>
    <w:tbl>
      <w:tblPr>
        <w:tblStyle w:val="TableGrid"/>
        <w:tblW w:w="0" w:type="auto"/>
        <w:tblInd w:w="1440" w:type="dxa"/>
        <w:tblLook w:val="04A0" w:firstRow="1" w:lastRow="0" w:firstColumn="1" w:lastColumn="0" w:noHBand="0" w:noVBand="1"/>
      </w:tblPr>
      <w:tblGrid>
        <w:gridCol w:w="3080"/>
        <w:gridCol w:w="3081"/>
      </w:tblGrid>
      <w:tr w:rsidR="005B3CEB" w:rsidTr="00CD7718">
        <w:tc>
          <w:tcPr>
            <w:tcW w:w="3080" w:type="dxa"/>
          </w:tcPr>
          <w:p w:rsidR="005B3CEB" w:rsidRDefault="005B3CEB" w:rsidP="00E53446">
            <w:pPr>
              <w:pStyle w:val="NoSpacing"/>
              <w:rPr>
                <w:b/>
                <w:bCs/>
              </w:rPr>
            </w:pPr>
            <w:r>
              <w:rPr>
                <w:b/>
                <w:bCs/>
              </w:rPr>
              <w:lastRenderedPageBreak/>
              <w:t>Variable</w:t>
            </w:r>
            <w:r w:rsidR="00762A03">
              <w:rPr>
                <w:b/>
                <w:bCs/>
              </w:rPr>
              <w:t>s</w:t>
            </w:r>
          </w:p>
        </w:tc>
        <w:tc>
          <w:tcPr>
            <w:tcW w:w="3081" w:type="dxa"/>
          </w:tcPr>
          <w:p w:rsidR="005B3CEB" w:rsidRPr="005B3CEB" w:rsidRDefault="005B3CEB" w:rsidP="00E53446">
            <w:pPr>
              <w:pStyle w:val="NoSpacing"/>
              <w:rPr>
                <w:b/>
                <w:bCs/>
                <w:i/>
              </w:rPr>
            </w:pPr>
            <w:r w:rsidRPr="005B3CEB">
              <w:rPr>
                <w:bCs/>
                <w:i/>
              </w:rPr>
              <w:t>Characteristics</w:t>
            </w:r>
          </w:p>
        </w:tc>
      </w:tr>
      <w:tr w:rsidR="005B3CEB" w:rsidTr="00CD7718">
        <w:tc>
          <w:tcPr>
            <w:tcW w:w="3080" w:type="dxa"/>
          </w:tcPr>
          <w:p w:rsidR="005B3CEB" w:rsidRDefault="005B3CEB" w:rsidP="00E53446">
            <w:pPr>
              <w:pStyle w:val="NoSpacing"/>
              <w:rPr>
                <w:b/>
                <w:bCs/>
              </w:rPr>
            </w:pPr>
            <w:r>
              <w:rPr>
                <w:b/>
                <w:bCs/>
              </w:rPr>
              <w:t>P</w:t>
            </w:r>
            <w:r w:rsidRPr="00BE0125">
              <w:rPr>
                <w:b/>
                <w:bCs/>
              </w:rPr>
              <w:t>eople with persistent low income</w:t>
            </w:r>
          </w:p>
        </w:tc>
        <w:tc>
          <w:tcPr>
            <w:tcW w:w="3081" w:type="dxa"/>
          </w:tcPr>
          <w:p w:rsidR="005B3CEB" w:rsidRPr="00762A03" w:rsidRDefault="005B3CEB" w:rsidP="00E53446">
            <w:pPr>
              <w:pStyle w:val="NoSpacing"/>
              <w:rPr>
                <w:b/>
                <w:bCs/>
                <w:i/>
              </w:rPr>
            </w:pPr>
            <w:r w:rsidRPr="00762A03">
              <w:rPr>
                <w:i/>
              </w:rPr>
              <w:t>Aged 25 to 64, New Zealand European, have no qualifications and couple parents.</w:t>
            </w:r>
          </w:p>
        </w:tc>
      </w:tr>
      <w:tr w:rsidR="005B3CEB" w:rsidTr="00CD7718">
        <w:tc>
          <w:tcPr>
            <w:tcW w:w="3080" w:type="dxa"/>
          </w:tcPr>
          <w:p w:rsidR="005B3CEB" w:rsidRDefault="005B3CEB" w:rsidP="00E53446">
            <w:pPr>
              <w:pStyle w:val="NoSpacing"/>
              <w:rPr>
                <w:b/>
                <w:bCs/>
              </w:rPr>
            </w:pPr>
            <w:r>
              <w:rPr>
                <w:b/>
                <w:bCs/>
              </w:rPr>
              <w:t>P</w:t>
            </w:r>
            <w:r w:rsidRPr="00BE0125">
              <w:rPr>
                <w:b/>
                <w:bCs/>
              </w:rPr>
              <w:t xml:space="preserve">eople </w:t>
            </w:r>
            <w:r w:rsidRPr="00BE0125">
              <w:rPr>
                <w:b/>
                <w:bCs/>
                <w:u w:val="single"/>
              </w:rPr>
              <w:t xml:space="preserve">more likely </w:t>
            </w:r>
            <w:r w:rsidRPr="00BE0125">
              <w:rPr>
                <w:b/>
                <w:bCs/>
              </w:rPr>
              <w:t>to have a persistent low income</w:t>
            </w:r>
          </w:p>
        </w:tc>
        <w:tc>
          <w:tcPr>
            <w:tcW w:w="3081" w:type="dxa"/>
          </w:tcPr>
          <w:p w:rsidR="005B3CEB" w:rsidRPr="00762A03" w:rsidRDefault="00037CDB" w:rsidP="00E53446">
            <w:pPr>
              <w:pStyle w:val="NoSpacing"/>
              <w:rPr>
                <w:b/>
                <w:bCs/>
                <w:i/>
              </w:rPr>
            </w:pPr>
            <w:r>
              <w:rPr>
                <w:i/>
              </w:rPr>
              <w:t xml:space="preserve">Over 65s, </w:t>
            </w:r>
            <w:r w:rsidR="005B3CEB" w:rsidRPr="00762A03">
              <w:rPr>
                <w:i/>
              </w:rPr>
              <w:t>Maori and others who are not New Zealand European,  no qualifications,  sole parents</w:t>
            </w:r>
          </w:p>
        </w:tc>
      </w:tr>
      <w:tr w:rsidR="005B3CEB" w:rsidTr="00CD7718">
        <w:tc>
          <w:tcPr>
            <w:tcW w:w="3080" w:type="dxa"/>
          </w:tcPr>
          <w:p w:rsidR="005B3CEB" w:rsidRDefault="005B3CEB" w:rsidP="00E53446">
            <w:pPr>
              <w:pStyle w:val="NoSpacing"/>
              <w:rPr>
                <w:b/>
                <w:bCs/>
              </w:rPr>
            </w:pPr>
            <w:r>
              <w:rPr>
                <w:b/>
                <w:bCs/>
              </w:rPr>
              <w:t>P</w:t>
            </w:r>
            <w:r w:rsidRPr="00BE0125">
              <w:rPr>
                <w:b/>
                <w:bCs/>
              </w:rPr>
              <w:t>eople in persistent deprivation</w:t>
            </w:r>
          </w:p>
        </w:tc>
        <w:tc>
          <w:tcPr>
            <w:tcW w:w="3081" w:type="dxa"/>
          </w:tcPr>
          <w:p w:rsidR="005B3CEB" w:rsidRPr="00762A03" w:rsidRDefault="005B3CEB" w:rsidP="00E53446">
            <w:pPr>
              <w:pStyle w:val="NoSpacing"/>
              <w:rPr>
                <w:i/>
              </w:rPr>
            </w:pPr>
            <w:r w:rsidRPr="00762A03">
              <w:rPr>
                <w:i/>
              </w:rPr>
              <w:t>Aged 25 to 64, New Zealand European, have vocational qualifications and are sole parents.</w:t>
            </w:r>
          </w:p>
        </w:tc>
      </w:tr>
      <w:tr w:rsidR="005B3CEB" w:rsidTr="00CD7718">
        <w:tc>
          <w:tcPr>
            <w:tcW w:w="3080" w:type="dxa"/>
          </w:tcPr>
          <w:p w:rsidR="005B3CEB" w:rsidRDefault="005B3CEB" w:rsidP="00E53446">
            <w:pPr>
              <w:pStyle w:val="NoSpacing"/>
              <w:rPr>
                <w:b/>
                <w:bCs/>
              </w:rPr>
            </w:pPr>
            <w:r>
              <w:rPr>
                <w:b/>
                <w:bCs/>
              </w:rPr>
              <w:t xml:space="preserve">People </w:t>
            </w:r>
            <w:r w:rsidRPr="005B3CEB">
              <w:rPr>
                <w:b/>
                <w:bCs/>
                <w:u w:val="single"/>
              </w:rPr>
              <w:t>more likely</w:t>
            </w:r>
            <w:r w:rsidRPr="00BE0125">
              <w:rPr>
                <w:b/>
                <w:bCs/>
              </w:rPr>
              <w:t xml:space="preserve"> to be in persistent deprivation</w:t>
            </w:r>
          </w:p>
        </w:tc>
        <w:tc>
          <w:tcPr>
            <w:tcW w:w="3081" w:type="dxa"/>
          </w:tcPr>
          <w:p w:rsidR="005B3CEB" w:rsidRPr="00762A03" w:rsidRDefault="005B3CEB" w:rsidP="00E53446">
            <w:pPr>
              <w:pStyle w:val="NoSpacing"/>
              <w:rPr>
                <w:b/>
                <w:bCs/>
                <w:i/>
              </w:rPr>
            </w:pPr>
            <w:r w:rsidRPr="00762A03">
              <w:rPr>
                <w:i/>
              </w:rPr>
              <w:t>Under 18s and youths, Maori, those</w:t>
            </w:r>
            <w:r w:rsidR="005D239D">
              <w:rPr>
                <w:i/>
              </w:rPr>
              <w:t xml:space="preserve"> with low qualifications, and </w:t>
            </w:r>
            <w:r w:rsidR="005D239D" w:rsidRPr="00762A03">
              <w:rPr>
                <w:i/>
              </w:rPr>
              <w:t>sole</w:t>
            </w:r>
            <w:r w:rsidRPr="00762A03">
              <w:rPr>
                <w:i/>
              </w:rPr>
              <w:t xml:space="preserve"> parents.</w:t>
            </w:r>
          </w:p>
        </w:tc>
      </w:tr>
    </w:tbl>
    <w:p w:rsidR="005B3CEB" w:rsidRDefault="005B3CEB" w:rsidP="005B3CEB">
      <w:pPr>
        <w:pStyle w:val="NoSpacing"/>
        <w:ind w:left="720"/>
        <w:rPr>
          <w:b/>
          <w:bCs/>
        </w:rPr>
      </w:pPr>
    </w:p>
    <w:p w:rsidR="003F3194" w:rsidRDefault="003F3194" w:rsidP="00E53446">
      <w:pPr>
        <w:pStyle w:val="NoSpacing"/>
        <w:rPr>
          <w:b/>
          <w:bCs/>
        </w:rPr>
      </w:pPr>
    </w:p>
    <w:p w:rsidR="00490511" w:rsidRDefault="008C35A7" w:rsidP="00762A03">
      <w:pPr>
        <w:pStyle w:val="NoSpacing"/>
        <w:ind w:left="720" w:hanging="720"/>
        <w:rPr>
          <w:rFonts w:cstheme="minorHAnsi"/>
        </w:rPr>
      </w:pPr>
      <w:r>
        <w:t>25</w:t>
      </w:r>
      <w:r w:rsidR="00762A03">
        <w:tab/>
      </w:r>
      <w:r w:rsidR="005D1594">
        <w:t>This work</w:t>
      </w:r>
      <w:r w:rsidR="00E53446" w:rsidRPr="00BE0125">
        <w:t xml:space="preserve"> </w:t>
      </w:r>
      <w:r w:rsidR="005B3CEB">
        <w:t xml:space="preserve">illustrates nicely that </w:t>
      </w:r>
      <w:r w:rsidR="00E53446" w:rsidRPr="00BE0125">
        <w:t>static income inequality is o</w:t>
      </w:r>
      <w:r w:rsidR="005D1594">
        <w:t>nly par</w:t>
      </w:r>
      <w:r w:rsidR="00521AE8">
        <w:t>t of a much richer story and this</w:t>
      </w:r>
      <w:r w:rsidR="00762A03">
        <w:t xml:space="preserve"> </w:t>
      </w:r>
      <w:r w:rsidR="00E53446" w:rsidRPr="00BE0125">
        <w:t xml:space="preserve">wide range of mobility experiences warns against </w:t>
      </w:r>
      <w:r w:rsidR="00507B88">
        <w:t xml:space="preserve">overly </w:t>
      </w:r>
      <w:r w:rsidR="00E53446" w:rsidRPr="00BE0125">
        <w:t>simplist</w:t>
      </w:r>
      <w:r w:rsidR="00521AE8">
        <w:t xml:space="preserve">ic generalisations and further </w:t>
      </w:r>
      <w:r w:rsidR="00330D5E">
        <w:t>research</w:t>
      </w:r>
      <w:r w:rsidR="00E53446" w:rsidRPr="00BE0125">
        <w:t xml:space="preserve"> is needed into what makes people </w:t>
      </w:r>
      <w:r w:rsidR="00507B88">
        <w:t xml:space="preserve">truly </w:t>
      </w:r>
      <w:r w:rsidR="00E53446" w:rsidRPr="00BE0125">
        <w:t>resilient to falling into poverty.</w:t>
      </w:r>
      <w:r w:rsidR="005D1594">
        <w:t xml:space="preserve"> </w:t>
      </w:r>
      <w:r w:rsidR="005B3CEB">
        <w:t xml:space="preserve">Note the research doesn’t include variables such as debt and capital. </w:t>
      </w:r>
      <w:r w:rsidR="005D1594">
        <w:t xml:space="preserve">However what is clear is the </w:t>
      </w:r>
      <w:r w:rsidR="005D1594">
        <w:rPr>
          <w:rFonts w:cstheme="minorHAnsi"/>
        </w:rPr>
        <w:t>i</w:t>
      </w:r>
      <w:r w:rsidR="00E53446" w:rsidRPr="00BE0125">
        <w:rPr>
          <w:rFonts w:cstheme="minorHAnsi"/>
        </w:rPr>
        <w:t xml:space="preserve">ncidence and overall prevalence of deprivation is strongest among sole parents, and </w:t>
      </w:r>
      <w:r w:rsidR="00762A03">
        <w:rPr>
          <w:rFonts w:cstheme="minorHAnsi"/>
        </w:rPr>
        <w:t xml:space="preserve">their </w:t>
      </w:r>
      <w:r w:rsidR="00E53446" w:rsidRPr="00BE0125">
        <w:rPr>
          <w:rFonts w:cstheme="minorHAnsi"/>
        </w:rPr>
        <w:t xml:space="preserve">mobility </w:t>
      </w:r>
      <w:r w:rsidR="00762A03">
        <w:rPr>
          <w:rFonts w:cstheme="minorHAnsi"/>
        </w:rPr>
        <w:t xml:space="preserve">also </w:t>
      </w:r>
      <w:r w:rsidR="00E53446" w:rsidRPr="00BE0125">
        <w:rPr>
          <w:rFonts w:cstheme="minorHAnsi"/>
        </w:rPr>
        <w:t>tends to be lowest</w:t>
      </w:r>
      <w:r w:rsidR="003A19C3">
        <w:rPr>
          <w:rFonts w:cstheme="minorHAnsi"/>
        </w:rPr>
        <w:t xml:space="preserve">. </w:t>
      </w:r>
    </w:p>
    <w:p w:rsidR="00CE53D1" w:rsidRDefault="00CE53D1" w:rsidP="00762A03">
      <w:pPr>
        <w:pStyle w:val="NoSpacing"/>
        <w:ind w:left="720" w:hanging="720"/>
      </w:pPr>
    </w:p>
    <w:p w:rsidR="00490511" w:rsidRDefault="00490511" w:rsidP="00490511">
      <w:pPr>
        <w:pStyle w:val="Default"/>
        <w:ind w:left="720" w:hanging="720"/>
        <w:rPr>
          <w:rFonts w:asciiTheme="minorHAnsi" w:hAnsiTheme="minorHAnsi" w:cstheme="minorHAnsi"/>
          <w:sz w:val="22"/>
          <w:szCs w:val="22"/>
        </w:rPr>
      </w:pPr>
      <w:r w:rsidRPr="00490511">
        <w:rPr>
          <w:rFonts w:asciiTheme="minorHAnsi" w:hAnsiTheme="minorHAnsi" w:cstheme="minorHAnsi"/>
          <w:sz w:val="22"/>
          <w:szCs w:val="22"/>
        </w:rPr>
        <w:t>26</w:t>
      </w:r>
      <w:r>
        <w:tab/>
      </w:r>
      <w:r w:rsidRPr="00EB0B00">
        <w:rPr>
          <w:rFonts w:asciiTheme="minorHAnsi" w:hAnsiTheme="minorHAnsi" w:cstheme="minorHAnsi"/>
          <w:sz w:val="22"/>
          <w:szCs w:val="22"/>
        </w:rPr>
        <w:t xml:space="preserve">This </w:t>
      </w:r>
      <w:r>
        <w:rPr>
          <w:rFonts w:asciiTheme="minorHAnsi" w:hAnsiTheme="minorHAnsi" w:cstheme="minorHAnsi"/>
          <w:sz w:val="22"/>
          <w:szCs w:val="22"/>
        </w:rPr>
        <w:t xml:space="preserve">paper in our view </w:t>
      </w:r>
      <w:r w:rsidRPr="00EB0B00">
        <w:rPr>
          <w:rFonts w:asciiTheme="minorHAnsi" w:hAnsiTheme="minorHAnsi" w:cstheme="minorHAnsi"/>
          <w:sz w:val="22"/>
          <w:szCs w:val="22"/>
        </w:rPr>
        <w:t>“</w:t>
      </w:r>
      <w:r w:rsidRPr="004716AA">
        <w:rPr>
          <w:rFonts w:asciiTheme="minorHAnsi" w:hAnsiTheme="minorHAnsi" w:cstheme="minorHAnsi"/>
          <w:bCs/>
          <w:i/>
          <w:sz w:val="22"/>
          <w:szCs w:val="22"/>
        </w:rPr>
        <w:t>Fiscal Incidence in New Zealand: The Distributional Effect of Government Expenditure and Taxation on Household Income, 1988 to 2010</w:t>
      </w:r>
      <w:r w:rsidRPr="00EB0B00">
        <w:rPr>
          <w:rFonts w:asciiTheme="minorHAnsi" w:hAnsiTheme="minorHAnsi" w:cstheme="minorHAnsi"/>
          <w:bCs/>
          <w:sz w:val="22"/>
          <w:szCs w:val="22"/>
        </w:rPr>
        <w:t>”</w:t>
      </w:r>
      <w:r w:rsidRPr="00EB0B00">
        <w:rPr>
          <w:rFonts w:asciiTheme="minorHAnsi" w:hAnsiTheme="minorHAnsi" w:cstheme="minorHAnsi"/>
          <w:sz w:val="22"/>
          <w:szCs w:val="22"/>
        </w:rPr>
        <w:t>, Omar A. Aziz, Matthew Gibbons, Chris Ball and Emma Gorman</w:t>
      </w:r>
      <w:r>
        <w:rPr>
          <w:rFonts w:asciiTheme="minorHAnsi" w:hAnsiTheme="minorHAnsi" w:cstheme="minorHAnsi"/>
          <w:sz w:val="22"/>
          <w:szCs w:val="22"/>
        </w:rPr>
        <w:t xml:space="preserve">, </w:t>
      </w:r>
      <w:r w:rsidRPr="00EB0B00">
        <w:rPr>
          <w:rFonts w:asciiTheme="minorHAnsi" w:hAnsiTheme="minorHAnsi" w:cstheme="minorHAnsi"/>
          <w:sz w:val="22"/>
          <w:szCs w:val="22"/>
        </w:rPr>
        <w:t>New Zealand Treasury (2012)</w:t>
      </w:r>
      <w:r>
        <w:rPr>
          <w:rFonts w:asciiTheme="minorHAnsi" w:hAnsiTheme="minorHAnsi" w:cstheme="minorHAnsi"/>
          <w:sz w:val="22"/>
          <w:szCs w:val="22"/>
        </w:rPr>
        <w:t xml:space="preserve"> provides </w:t>
      </w:r>
      <w:r w:rsidR="009F3DE8">
        <w:rPr>
          <w:rFonts w:asciiTheme="minorHAnsi" w:hAnsiTheme="minorHAnsi" w:cstheme="minorHAnsi"/>
          <w:sz w:val="22"/>
          <w:szCs w:val="22"/>
        </w:rPr>
        <w:t xml:space="preserve">general </w:t>
      </w:r>
      <w:r>
        <w:rPr>
          <w:rFonts w:asciiTheme="minorHAnsi" w:hAnsiTheme="minorHAnsi" w:cstheme="minorHAnsi"/>
          <w:sz w:val="22"/>
          <w:szCs w:val="22"/>
        </w:rPr>
        <w:t xml:space="preserve">support for such an approach i.e. </w:t>
      </w:r>
      <w:r w:rsidRPr="00A301FA">
        <w:rPr>
          <w:rFonts w:asciiTheme="minorHAnsi" w:hAnsiTheme="minorHAnsi" w:cstheme="minorHAnsi"/>
          <w:bCs/>
          <w:sz w:val="22"/>
          <w:szCs w:val="22"/>
        </w:rPr>
        <w:t>emphasis’s mobility via employment and specifically target deprivation and persistent low income</w:t>
      </w:r>
      <w:r w:rsidRPr="00A301FA">
        <w:rPr>
          <w:rFonts w:asciiTheme="minorHAnsi" w:hAnsiTheme="minorHAnsi" w:cstheme="minorHAnsi"/>
          <w:sz w:val="22"/>
          <w:szCs w:val="22"/>
        </w:rPr>
        <w:t>.</w:t>
      </w:r>
      <w:r>
        <w:rPr>
          <w:rFonts w:asciiTheme="minorHAnsi" w:hAnsiTheme="minorHAnsi" w:cstheme="minorHAnsi"/>
          <w:sz w:val="22"/>
          <w:szCs w:val="22"/>
        </w:rPr>
        <w:t xml:space="preserve"> </w:t>
      </w:r>
    </w:p>
    <w:p w:rsidR="00490511" w:rsidRDefault="00490511" w:rsidP="00490511">
      <w:pPr>
        <w:pStyle w:val="Default"/>
        <w:ind w:left="720" w:hanging="720"/>
        <w:rPr>
          <w:rFonts w:asciiTheme="minorHAnsi" w:hAnsiTheme="minorHAnsi" w:cstheme="minorHAnsi"/>
          <w:sz w:val="22"/>
          <w:szCs w:val="22"/>
        </w:rPr>
      </w:pPr>
    </w:p>
    <w:p w:rsidR="00490511" w:rsidRDefault="00490511" w:rsidP="00490511">
      <w:pPr>
        <w:pStyle w:val="Default"/>
        <w:ind w:left="720" w:hanging="720"/>
        <w:rPr>
          <w:rFonts w:asciiTheme="minorHAnsi" w:hAnsiTheme="minorHAnsi" w:cstheme="minorHAnsi"/>
          <w:sz w:val="22"/>
          <w:szCs w:val="22"/>
        </w:rPr>
      </w:pPr>
      <w:r>
        <w:rPr>
          <w:rFonts w:asciiTheme="minorHAnsi" w:hAnsiTheme="minorHAnsi" w:cstheme="minorHAnsi"/>
          <w:sz w:val="22"/>
          <w:szCs w:val="22"/>
        </w:rPr>
        <w:t>27</w:t>
      </w:r>
      <w:r>
        <w:rPr>
          <w:rFonts w:asciiTheme="minorHAnsi" w:hAnsiTheme="minorHAnsi" w:cstheme="minorHAnsi"/>
          <w:sz w:val="22"/>
          <w:szCs w:val="22"/>
        </w:rPr>
        <w:tab/>
        <w:t xml:space="preserve">While noting the work offers </w:t>
      </w:r>
      <w:r w:rsidRPr="00EB0B00">
        <w:rPr>
          <w:rFonts w:asciiTheme="minorHAnsi" w:hAnsiTheme="minorHAnsi" w:cstheme="minorHAnsi"/>
          <w:sz w:val="22"/>
          <w:szCs w:val="22"/>
        </w:rPr>
        <w:t>partial insights into complex changes in income and expenditure distribution</w:t>
      </w:r>
      <w:r>
        <w:rPr>
          <w:rFonts w:asciiTheme="minorHAnsi" w:hAnsiTheme="minorHAnsi" w:cstheme="minorHAnsi"/>
          <w:sz w:val="22"/>
          <w:szCs w:val="22"/>
        </w:rPr>
        <w:t xml:space="preserve">, the work </w:t>
      </w:r>
      <w:r w:rsidRPr="00EB0B00">
        <w:rPr>
          <w:rFonts w:asciiTheme="minorHAnsi" w:hAnsiTheme="minorHAnsi" w:cstheme="minorHAnsi"/>
          <w:sz w:val="22"/>
          <w:szCs w:val="22"/>
        </w:rPr>
        <w:t>compared the fiscal incidence of govern</w:t>
      </w:r>
      <w:r>
        <w:rPr>
          <w:rFonts w:asciiTheme="minorHAnsi" w:hAnsiTheme="minorHAnsi" w:cstheme="minorHAnsi"/>
          <w:sz w:val="22"/>
          <w:szCs w:val="22"/>
        </w:rPr>
        <w:t>ment expenditure and taxation between 1988 and 2010</w:t>
      </w:r>
      <w:r w:rsidRPr="00EB0B00">
        <w:rPr>
          <w:rFonts w:asciiTheme="minorHAnsi" w:hAnsiTheme="minorHAnsi" w:cstheme="minorHAnsi"/>
          <w:sz w:val="22"/>
          <w:szCs w:val="22"/>
        </w:rPr>
        <w:t xml:space="preserve">. </w:t>
      </w:r>
      <w:r>
        <w:rPr>
          <w:rFonts w:asciiTheme="minorHAnsi" w:hAnsiTheme="minorHAnsi" w:cstheme="minorHAnsi"/>
          <w:sz w:val="22"/>
          <w:szCs w:val="22"/>
        </w:rPr>
        <w:t>The findings:</w:t>
      </w:r>
    </w:p>
    <w:p w:rsidR="00490511" w:rsidRPr="00A301FA" w:rsidRDefault="00490511" w:rsidP="00490511">
      <w:pPr>
        <w:pStyle w:val="Default"/>
        <w:ind w:left="360"/>
        <w:rPr>
          <w:rFonts w:asciiTheme="minorHAnsi" w:hAnsiTheme="minorHAnsi" w:cstheme="minorHAnsi"/>
        </w:rPr>
      </w:pPr>
    </w:p>
    <w:p w:rsidR="00490511" w:rsidRDefault="00490511" w:rsidP="003866C7">
      <w:pPr>
        <w:pStyle w:val="Default"/>
        <w:numPr>
          <w:ilvl w:val="0"/>
          <w:numId w:val="20"/>
        </w:numPr>
        <w:ind w:left="1080"/>
        <w:rPr>
          <w:rFonts w:asciiTheme="minorHAnsi" w:hAnsiTheme="minorHAnsi" w:cstheme="minorHAnsi"/>
          <w:sz w:val="22"/>
          <w:szCs w:val="22"/>
        </w:rPr>
      </w:pPr>
      <w:r>
        <w:rPr>
          <w:rFonts w:asciiTheme="minorHAnsi" w:hAnsiTheme="minorHAnsi" w:cstheme="minorHAnsi"/>
          <w:sz w:val="22"/>
          <w:szCs w:val="22"/>
        </w:rPr>
        <w:t>m</w:t>
      </w:r>
      <w:r w:rsidRPr="00A301FA">
        <w:rPr>
          <w:rFonts w:asciiTheme="minorHAnsi" w:hAnsiTheme="minorHAnsi" w:cstheme="minorHAnsi"/>
          <w:sz w:val="22"/>
          <w:szCs w:val="22"/>
        </w:rPr>
        <w:t>arket incomes have increased for deciles six to ten, although between 2007 and 2010 the economic downturn reduced market inc</w:t>
      </w:r>
      <w:r>
        <w:rPr>
          <w:rFonts w:asciiTheme="minorHAnsi" w:hAnsiTheme="minorHAnsi" w:cstheme="minorHAnsi"/>
          <w:sz w:val="22"/>
          <w:szCs w:val="22"/>
        </w:rPr>
        <w:t>omes for the top income decile;</w:t>
      </w:r>
    </w:p>
    <w:p w:rsidR="00490511" w:rsidRDefault="009F3DE8" w:rsidP="003866C7">
      <w:pPr>
        <w:pStyle w:val="Default"/>
        <w:numPr>
          <w:ilvl w:val="0"/>
          <w:numId w:val="20"/>
        </w:numPr>
        <w:ind w:left="1080"/>
        <w:rPr>
          <w:rFonts w:asciiTheme="minorHAnsi" w:hAnsiTheme="minorHAnsi" w:cstheme="minorHAnsi"/>
          <w:sz w:val="22"/>
          <w:szCs w:val="22"/>
        </w:rPr>
      </w:pPr>
      <w:r>
        <w:rPr>
          <w:rFonts w:asciiTheme="minorHAnsi" w:hAnsiTheme="minorHAnsi" w:cstheme="minorHAnsi"/>
          <w:sz w:val="22"/>
          <w:szCs w:val="22"/>
        </w:rPr>
        <w:t>u</w:t>
      </w:r>
      <w:r w:rsidR="00490511" w:rsidRPr="00A301FA">
        <w:rPr>
          <w:rFonts w:asciiTheme="minorHAnsi" w:hAnsiTheme="minorHAnsi" w:cstheme="minorHAnsi"/>
          <w:sz w:val="22"/>
          <w:szCs w:val="22"/>
        </w:rPr>
        <w:t xml:space="preserve">sually only decile 10 has experienced an increase in its tax burden, although the fall in market income for decile 10 in 2010 meant that this </w:t>
      </w:r>
      <w:r w:rsidR="00490511">
        <w:rPr>
          <w:rFonts w:asciiTheme="minorHAnsi" w:hAnsiTheme="minorHAnsi" w:cstheme="minorHAnsi"/>
          <w:sz w:val="22"/>
          <w:szCs w:val="22"/>
        </w:rPr>
        <w:t>decile was also paying less tax;</w:t>
      </w:r>
    </w:p>
    <w:p w:rsidR="00490511" w:rsidRDefault="009F3DE8" w:rsidP="003866C7">
      <w:pPr>
        <w:pStyle w:val="Default"/>
        <w:numPr>
          <w:ilvl w:val="0"/>
          <w:numId w:val="20"/>
        </w:numPr>
        <w:ind w:left="1080"/>
        <w:rPr>
          <w:rFonts w:asciiTheme="minorHAnsi" w:hAnsiTheme="minorHAnsi" w:cstheme="minorHAnsi"/>
          <w:sz w:val="22"/>
          <w:szCs w:val="22"/>
        </w:rPr>
      </w:pPr>
      <w:r>
        <w:rPr>
          <w:rFonts w:asciiTheme="minorHAnsi" w:hAnsiTheme="minorHAnsi" w:cstheme="minorHAnsi"/>
          <w:sz w:val="22"/>
          <w:szCs w:val="22"/>
        </w:rPr>
        <w:t>i</w:t>
      </w:r>
      <w:r w:rsidR="00490511">
        <w:rPr>
          <w:rFonts w:asciiTheme="minorHAnsi" w:hAnsiTheme="minorHAnsi" w:cstheme="minorHAnsi"/>
          <w:sz w:val="22"/>
          <w:szCs w:val="22"/>
        </w:rPr>
        <w:t>ncome</w:t>
      </w:r>
      <w:r w:rsidR="00490511" w:rsidRPr="00A301FA">
        <w:rPr>
          <w:rFonts w:asciiTheme="minorHAnsi" w:hAnsiTheme="minorHAnsi" w:cstheme="minorHAnsi"/>
          <w:sz w:val="22"/>
          <w:szCs w:val="22"/>
        </w:rPr>
        <w:t xml:space="preserve"> support expenditure has benefitted lower income deciles most, although the redistributive effects of spending have varied and been affected by the level of targeting, the age of eligibility for superann</w:t>
      </w:r>
      <w:r>
        <w:rPr>
          <w:rFonts w:asciiTheme="minorHAnsi" w:hAnsiTheme="minorHAnsi" w:cstheme="minorHAnsi"/>
          <w:sz w:val="22"/>
          <w:szCs w:val="22"/>
        </w:rPr>
        <w:t>uation, and the mix of spending</w:t>
      </w:r>
      <w:r w:rsidR="00490511">
        <w:rPr>
          <w:rFonts w:asciiTheme="minorHAnsi" w:hAnsiTheme="minorHAnsi" w:cstheme="minorHAnsi"/>
          <w:sz w:val="22"/>
          <w:szCs w:val="22"/>
        </w:rPr>
        <w:t>;</w:t>
      </w:r>
    </w:p>
    <w:p w:rsidR="00490511" w:rsidRPr="00A301FA" w:rsidRDefault="00490511" w:rsidP="003866C7">
      <w:pPr>
        <w:pStyle w:val="Default"/>
        <w:numPr>
          <w:ilvl w:val="0"/>
          <w:numId w:val="20"/>
        </w:numPr>
        <w:ind w:left="1080"/>
        <w:rPr>
          <w:rFonts w:asciiTheme="minorHAnsi" w:hAnsiTheme="minorHAnsi" w:cstheme="minorHAnsi"/>
          <w:sz w:val="22"/>
          <w:szCs w:val="22"/>
        </w:rPr>
      </w:pPr>
      <w:r>
        <w:rPr>
          <w:rFonts w:asciiTheme="minorHAnsi" w:hAnsiTheme="minorHAnsi" w:cstheme="minorHAnsi"/>
          <w:sz w:val="22"/>
          <w:szCs w:val="22"/>
        </w:rPr>
        <w:t>d</w:t>
      </w:r>
      <w:r w:rsidRPr="00A301FA">
        <w:rPr>
          <w:rFonts w:asciiTheme="minorHAnsi" w:hAnsiTheme="minorHAnsi" w:cstheme="minorHAnsi"/>
          <w:sz w:val="22"/>
          <w:szCs w:val="22"/>
        </w:rPr>
        <w:t>isposable income, which is market income plus income support but less direct taxation, was higher in 2010 than in 1988 and 1998 for</w:t>
      </w:r>
      <w:r w:rsidR="00941897">
        <w:rPr>
          <w:rFonts w:asciiTheme="minorHAnsi" w:hAnsiTheme="minorHAnsi" w:cstheme="minorHAnsi"/>
          <w:sz w:val="22"/>
          <w:szCs w:val="22"/>
        </w:rPr>
        <w:t xml:space="preserve"> all deciles except decile one; </w:t>
      </w:r>
    </w:p>
    <w:p w:rsidR="00490511" w:rsidRDefault="00490511" w:rsidP="003866C7">
      <w:pPr>
        <w:pStyle w:val="Default"/>
        <w:numPr>
          <w:ilvl w:val="0"/>
          <w:numId w:val="20"/>
        </w:numPr>
        <w:ind w:left="1080"/>
        <w:rPr>
          <w:rFonts w:asciiTheme="minorHAnsi" w:hAnsiTheme="minorHAnsi" w:cstheme="minorHAnsi"/>
          <w:sz w:val="22"/>
          <w:szCs w:val="22"/>
        </w:rPr>
      </w:pPr>
      <w:r>
        <w:rPr>
          <w:rFonts w:asciiTheme="minorHAnsi" w:hAnsiTheme="minorHAnsi" w:cstheme="minorHAnsi"/>
          <w:sz w:val="22"/>
          <w:szCs w:val="22"/>
        </w:rPr>
        <w:t>h</w:t>
      </w:r>
      <w:r w:rsidRPr="00A301FA">
        <w:rPr>
          <w:rFonts w:asciiTheme="minorHAnsi" w:hAnsiTheme="minorHAnsi" w:cstheme="minorHAnsi"/>
          <w:sz w:val="22"/>
          <w:szCs w:val="22"/>
        </w:rPr>
        <w:t xml:space="preserve">ealth and education expenditure have substantially increased since 1988, and have increased the consumption possibilities </w:t>
      </w:r>
      <w:r>
        <w:rPr>
          <w:rFonts w:asciiTheme="minorHAnsi" w:hAnsiTheme="minorHAnsi" w:cstheme="minorHAnsi"/>
          <w:sz w:val="22"/>
          <w:szCs w:val="22"/>
        </w:rPr>
        <w:t>of all household income deciles;</w:t>
      </w:r>
    </w:p>
    <w:p w:rsidR="00490511" w:rsidRDefault="00490511" w:rsidP="003866C7">
      <w:pPr>
        <w:pStyle w:val="Default"/>
        <w:numPr>
          <w:ilvl w:val="0"/>
          <w:numId w:val="20"/>
        </w:numPr>
        <w:ind w:left="1080"/>
        <w:rPr>
          <w:rFonts w:asciiTheme="minorHAnsi" w:hAnsiTheme="minorHAnsi" w:cstheme="minorHAnsi"/>
          <w:sz w:val="22"/>
          <w:szCs w:val="22"/>
        </w:rPr>
      </w:pPr>
      <w:r>
        <w:rPr>
          <w:rFonts w:asciiTheme="minorHAnsi" w:hAnsiTheme="minorHAnsi" w:cstheme="minorHAnsi"/>
          <w:sz w:val="22"/>
          <w:szCs w:val="22"/>
        </w:rPr>
        <w:t>f</w:t>
      </w:r>
      <w:r w:rsidRPr="00A301FA">
        <w:rPr>
          <w:rFonts w:asciiTheme="minorHAnsi" w:hAnsiTheme="minorHAnsi" w:cstheme="minorHAnsi"/>
          <w:sz w:val="22"/>
          <w:szCs w:val="22"/>
        </w:rPr>
        <w:t>inal income, which is disposable income plus health and education expenditure but less indirect taxation, has been considerably more evenly distributed than market income, and has increased for almost all inco</w:t>
      </w:r>
      <w:r>
        <w:rPr>
          <w:rFonts w:asciiTheme="minorHAnsi" w:hAnsiTheme="minorHAnsi" w:cstheme="minorHAnsi"/>
          <w:sz w:val="22"/>
          <w:szCs w:val="22"/>
        </w:rPr>
        <w:t>me deciles;</w:t>
      </w:r>
      <w:r w:rsidR="00BE2339">
        <w:rPr>
          <w:rFonts w:asciiTheme="minorHAnsi" w:hAnsiTheme="minorHAnsi" w:cstheme="minorHAnsi"/>
          <w:sz w:val="22"/>
          <w:szCs w:val="22"/>
        </w:rPr>
        <w:t xml:space="preserve"> and</w:t>
      </w:r>
    </w:p>
    <w:p w:rsidR="00490511" w:rsidRPr="00A301FA" w:rsidRDefault="00490511" w:rsidP="003866C7">
      <w:pPr>
        <w:pStyle w:val="Default"/>
        <w:numPr>
          <w:ilvl w:val="0"/>
          <w:numId w:val="20"/>
        </w:numPr>
        <w:ind w:left="1080"/>
        <w:rPr>
          <w:rFonts w:asciiTheme="minorHAnsi" w:hAnsiTheme="minorHAnsi" w:cstheme="minorHAnsi"/>
          <w:sz w:val="18"/>
          <w:szCs w:val="18"/>
        </w:rPr>
      </w:pPr>
      <w:r w:rsidRPr="00A301FA">
        <w:rPr>
          <w:rFonts w:asciiTheme="minorHAnsi" w:hAnsiTheme="minorHAnsi" w:cstheme="minorHAnsi"/>
          <w:sz w:val="22"/>
          <w:szCs w:val="22"/>
        </w:rPr>
        <w:t xml:space="preserve">households in deciles </w:t>
      </w:r>
      <w:r w:rsidRPr="00A301FA">
        <w:rPr>
          <w:rFonts w:asciiTheme="minorHAnsi" w:hAnsiTheme="minorHAnsi" w:cstheme="minorHAnsi"/>
          <w:color w:val="auto"/>
          <w:sz w:val="22"/>
          <w:szCs w:val="22"/>
        </w:rPr>
        <w:t xml:space="preserve">seven to ten have consistently paid more in tax than they have received in income support payments and in health and education services. </w:t>
      </w:r>
      <w:r w:rsidRPr="00A301FA">
        <w:rPr>
          <w:rFonts w:asciiTheme="minorHAnsi" w:hAnsiTheme="minorHAnsi" w:cstheme="minorHAnsi"/>
          <w:color w:val="auto"/>
          <w:sz w:val="22"/>
          <w:szCs w:val="22"/>
        </w:rPr>
        <w:lastRenderedPageBreak/>
        <w:t>Nevertheless, income inequality incre</w:t>
      </w:r>
      <w:r w:rsidR="00BE2339">
        <w:rPr>
          <w:rFonts w:asciiTheme="minorHAnsi" w:hAnsiTheme="minorHAnsi" w:cstheme="minorHAnsi"/>
          <w:color w:val="auto"/>
          <w:sz w:val="22"/>
          <w:szCs w:val="22"/>
        </w:rPr>
        <w:t>ased in New Zealand until 2007</w:t>
      </w:r>
      <w:r w:rsidRPr="00A301FA">
        <w:rPr>
          <w:rFonts w:asciiTheme="minorHAnsi" w:hAnsiTheme="minorHAnsi" w:cstheme="minorHAnsi"/>
          <w:color w:val="auto"/>
          <w:sz w:val="22"/>
          <w:szCs w:val="22"/>
        </w:rPr>
        <w:t xml:space="preserve"> irrespective of the income measure used, although </w:t>
      </w:r>
      <w:r w:rsidR="00BE2339">
        <w:rPr>
          <w:rFonts w:asciiTheme="minorHAnsi" w:hAnsiTheme="minorHAnsi" w:cstheme="minorHAnsi"/>
          <w:color w:val="auto"/>
          <w:sz w:val="22"/>
          <w:szCs w:val="22"/>
        </w:rPr>
        <w:t xml:space="preserve">since 2008 this </w:t>
      </w:r>
      <w:r w:rsidR="00605992">
        <w:rPr>
          <w:rFonts w:asciiTheme="minorHAnsi" w:hAnsiTheme="minorHAnsi" w:cstheme="minorHAnsi"/>
          <w:color w:val="auto"/>
          <w:sz w:val="22"/>
          <w:szCs w:val="22"/>
        </w:rPr>
        <w:t xml:space="preserve">has </w:t>
      </w:r>
      <w:r w:rsidRPr="00A301FA">
        <w:rPr>
          <w:rFonts w:asciiTheme="minorHAnsi" w:hAnsiTheme="minorHAnsi" w:cstheme="minorHAnsi"/>
          <w:color w:val="auto"/>
          <w:sz w:val="22"/>
          <w:szCs w:val="22"/>
        </w:rPr>
        <w:t>reduced.</w:t>
      </w:r>
    </w:p>
    <w:p w:rsidR="00490511" w:rsidRDefault="00490511" w:rsidP="00CE53D1">
      <w:pPr>
        <w:pStyle w:val="NoSpacing"/>
        <w:ind w:left="1440" w:hanging="720"/>
      </w:pPr>
    </w:p>
    <w:p w:rsidR="00CE53D1" w:rsidRDefault="00CE53D1" w:rsidP="00CE53D1">
      <w:pPr>
        <w:pStyle w:val="NoSpacing"/>
        <w:ind w:left="720"/>
      </w:pPr>
      <w:r>
        <w:rPr>
          <w:rFonts w:cstheme="minorHAnsi"/>
        </w:rPr>
        <w:t>Our</w:t>
      </w:r>
      <w:r w:rsidR="00522A2B">
        <w:rPr>
          <w:rFonts w:cstheme="minorHAnsi"/>
        </w:rPr>
        <w:t xml:space="preserve"> take on these trends</w:t>
      </w:r>
      <w:r>
        <w:rPr>
          <w:rFonts w:cstheme="minorHAnsi"/>
        </w:rPr>
        <w:t xml:space="preserve"> is that </w:t>
      </w:r>
      <w:r w:rsidRPr="005D1594">
        <w:rPr>
          <w:bCs/>
        </w:rPr>
        <w:t xml:space="preserve">policy should emphasise mobility via employment </w:t>
      </w:r>
      <w:r>
        <w:rPr>
          <w:bCs/>
        </w:rPr>
        <w:t xml:space="preserve">in the first instance </w:t>
      </w:r>
      <w:r w:rsidRPr="005D1594">
        <w:rPr>
          <w:bCs/>
        </w:rPr>
        <w:t xml:space="preserve">and </w:t>
      </w:r>
      <w:r>
        <w:rPr>
          <w:bCs/>
        </w:rPr>
        <w:t xml:space="preserve">specifically </w:t>
      </w:r>
      <w:r w:rsidRPr="005D1594">
        <w:rPr>
          <w:bCs/>
        </w:rPr>
        <w:t>target deprivation and persistent low income.</w:t>
      </w:r>
      <w:r w:rsidRPr="00BE0125">
        <w:t> </w:t>
      </w:r>
    </w:p>
    <w:p w:rsidR="00CE53D1" w:rsidRDefault="00CE53D1" w:rsidP="00522A2B">
      <w:pPr>
        <w:pStyle w:val="NoSpacing"/>
      </w:pPr>
    </w:p>
    <w:p w:rsidR="00BE2339" w:rsidRPr="00581B49" w:rsidRDefault="00BE2339" w:rsidP="00BE2339">
      <w:pPr>
        <w:pStyle w:val="NoSpacing"/>
        <w:ind w:left="1440" w:hanging="720"/>
        <w:rPr>
          <w:u w:val="single"/>
        </w:rPr>
      </w:pPr>
      <w:r w:rsidRPr="00581B49">
        <w:rPr>
          <w:rFonts w:eastAsia="Times New Roman" w:cstheme="minorHAnsi"/>
          <w:u w:val="single"/>
          <w:lang w:val="en" w:eastAsia="en-NZ"/>
        </w:rPr>
        <w:t xml:space="preserve">Centrality of </w:t>
      </w:r>
      <w:r w:rsidR="00AD7C9C">
        <w:rPr>
          <w:rFonts w:eastAsia="Times New Roman" w:cstheme="minorHAnsi"/>
          <w:u w:val="single"/>
          <w:lang w:val="en" w:eastAsia="en-NZ"/>
        </w:rPr>
        <w:t xml:space="preserve">Economic Growth and </w:t>
      </w:r>
      <w:r w:rsidRPr="00581B49">
        <w:rPr>
          <w:rFonts w:eastAsia="Times New Roman" w:cstheme="minorHAnsi"/>
          <w:u w:val="single"/>
          <w:lang w:val="en" w:eastAsia="en-NZ"/>
        </w:rPr>
        <w:t xml:space="preserve">Employment </w:t>
      </w:r>
    </w:p>
    <w:p w:rsidR="00E53446" w:rsidRPr="005D1594" w:rsidRDefault="00E53446" w:rsidP="005D1594">
      <w:pPr>
        <w:pStyle w:val="NoSpacing"/>
      </w:pPr>
    </w:p>
    <w:p w:rsidR="00E1121A" w:rsidRDefault="00490511" w:rsidP="00E1121A">
      <w:pPr>
        <w:ind w:left="720" w:hanging="720"/>
        <w:rPr>
          <w:lang w:eastAsia="en-NZ"/>
        </w:rPr>
      </w:pPr>
      <w:r>
        <w:rPr>
          <w:lang w:eastAsia="en-NZ"/>
        </w:rPr>
        <w:t>28</w:t>
      </w:r>
      <w:r w:rsidR="00762A03">
        <w:rPr>
          <w:lang w:eastAsia="en-NZ"/>
        </w:rPr>
        <w:tab/>
        <w:t xml:space="preserve">Economic growth is arguably the most reliable way to address average living standards, poverty, fiscal soundness and the viability of welfare </w:t>
      </w:r>
      <w:r w:rsidR="00E1121A">
        <w:rPr>
          <w:lang w:eastAsia="en-NZ"/>
        </w:rPr>
        <w:t xml:space="preserve">transfers </w:t>
      </w:r>
      <w:r w:rsidR="00762A03">
        <w:rPr>
          <w:lang w:eastAsia="en-NZ"/>
        </w:rPr>
        <w:t xml:space="preserve">over time. The key driver of </w:t>
      </w:r>
      <w:r w:rsidR="00AD2DCB">
        <w:rPr>
          <w:lang w:eastAsia="en-NZ"/>
        </w:rPr>
        <w:t>economic growth</w:t>
      </w:r>
      <w:r w:rsidR="00762A03">
        <w:rPr>
          <w:lang w:eastAsia="en-NZ"/>
        </w:rPr>
        <w:t xml:space="preserve"> is improving productivity over time i.e. more output for less cost, </w:t>
      </w:r>
      <w:r w:rsidR="00E1121A">
        <w:rPr>
          <w:lang w:eastAsia="en-NZ"/>
        </w:rPr>
        <w:t xml:space="preserve">so </w:t>
      </w:r>
      <w:r w:rsidR="00762A03">
        <w:rPr>
          <w:lang w:eastAsia="en-NZ"/>
        </w:rPr>
        <w:t xml:space="preserve">policy settings need to reduce costs and increase </w:t>
      </w:r>
      <w:r w:rsidR="00E1121A">
        <w:rPr>
          <w:lang w:eastAsia="en-NZ"/>
        </w:rPr>
        <w:t xml:space="preserve">the </w:t>
      </w:r>
      <w:r w:rsidR="00762A03">
        <w:rPr>
          <w:lang w:eastAsia="en-NZ"/>
        </w:rPr>
        <w:t xml:space="preserve">marginal benefits of the goods/services we produce. </w:t>
      </w:r>
    </w:p>
    <w:p w:rsidR="00AD2DCB" w:rsidRPr="00AD2DCB" w:rsidRDefault="00490511" w:rsidP="00AD2DCB">
      <w:pPr>
        <w:ind w:left="720" w:hanging="720"/>
        <w:rPr>
          <w:rFonts w:ascii="Helvetica" w:hAnsi="Helvetica" w:cs="Helvetica"/>
          <w:color w:val="FF0000"/>
        </w:rPr>
      </w:pPr>
      <w:r>
        <w:rPr>
          <w:lang w:eastAsia="en-NZ"/>
        </w:rPr>
        <w:t>29</w:t>
      </w:r>
      <w:r w:rsidR="00AD2DCB">
        <w:rPr>
          <w:lang w:eastAsia="en-NZ"/>
        </w:rPr>
        <w:tab/>
      </w:r>
      <w:r w:rsidR="0098277C">
        <w:t xml:space="preserve">As Paul </w:t>
      </w:r>
      <w:r w:rsidR="00AD2DCB">
        <w:t xml:space="preserve">Krugman notes “Productivity isn’t everything, but in the long-run it’s almost everything.”  This is hard for Governments as it means what workers produce, how they produce it and the price of that </w:t>
      </w:r>
      <w:r w:rsidR="00D80DBA">
        <w:t>labour will</w:t>
      </w:r>
      <w:r w:rsidR="00F2151C">
        <w:t xml:space="preserve"> </w:t>
      </w:r>
      <w:r w:rsidR="00AD2DCB">
        <w:t>have to change over time. That means businesses closing, new businesses opening, workers having to learn new skills, workers being sacked etc. This renewal is necessary, but what is equally important is how policy settings make these transitions equitable and efficient, especially workers having top generic skills, a mind-set of change is good and adequate income protections.</w:t>
      </w:r>
    </w:p>
    <w:p w:rsidR="00507B88" w:rsidRDefault="00490511" w:rsidP="00507B88">
      <w:pPr>
        <w:ind w:left="720" w:hanging="720"/>
        <w:rPr>
          <w:lang w:eastAsia="en-NZ"/>
        </w:rPr>
      </w:pPr>
      <w:r>
        <w:rPr>
          <w:lang w:eastAsia="en-NZ"/>
        </w:rPr>
        <w:t>30</w:t>
      </w:r>
      <w:r w:rsidR="00507B88">
        <w:rPr>
          <w:lang w:eastAsia="en-NZ"/>
        </w:rPr>
        <w:tab/>
        <w:t>The value of employment is well noted in the report</w:t>
      </w:r>
      <w:r w:rsidR="00A8699B">
        <w:rPr>
          <w:lang w:eastAsia="en-NZ"/>
        </w:rPr>
        <w:t xml:space="preserve"> but very short on policy prescriptions to achieve </w:t>
      </w:r>
      <w:r w:rsidR="004855C6">
        <w:rPr>
          <w:lang w:eastAsia="en-NZ"/>
        </w:rPr>
        <w:t xml:space="preserve">higher productivity, </w:t>
      </w:r>
      <w:r w:rsidR="0010408B">
        <w:rPr>
          <w:lang w:eastAsia="en-NZ"/>
        </w:rPr>
        <w:t>greater</w:t>
      </w:r>
      <w:r w:rsidR="00A8699B">
        <w:rPr>
          <w:lang w:eastAsia="en-NZ"/>
        </w:rPr>
        <w:t xml:space="preserve"> wealth and employment. I</w:t>
      </w:r>
      <w:r w:rsidR="00507B88">
        <w:rPr>
          <w:lang w:eastAsia="en-NZ"/>
        </w:rPr>
        <w:t xml:space="preserve">t’s the </w:t>
      </w:r>
      <w:r w:rsidR="00507B88" w:rsidRPr="00280CA7">
        <w:rPr>
          <w:lang w:eastAsia="en-NZ"/>
        </w:rPr>
        <w:t>quality</w:t>
      </w:r>
      <w:r w:rsidR="00507B88">
        <w:rPr>
          <w:lang w:eastAsia="en-NZ"/>
        </w:rPr>
        <w:t xml:space="preserve"> of the employment that drives wealth creation i.e. individuals must produce goods/services at a price/quality </w:t>
      </w:r>
      <w:r w:rsidR="00A8699B">
        <w:rPr>
          <w:lang w:eastAsia="en-NZ"/>
        </w:rPr>
        <w:t xml:space="preserve">domestic and overseas </w:t>
      </w:r>
      <w:r w:rsidR="00A2097C">
        <w:rPr>
          <w:lang w:eastAsia="en-NZ"/>
        </w:rPr>
        <w:t xml:space="preserve">consumers </w:t>
      </w:r>
      <w:r w:rsidR="00507B88">
        <w:rPr>
          <w:lang w:eastAsia="en-NZ"/>
        </w:rPr>
        <w:t xml:space="preserve">are willing to buy. It’s easy to employ 1000 more Policy Analysts and say unemployment is down but which is unlikely to reduce child poverty. </w:t>
      </w:r>
    </w:p>
    <w:p w:rsidR="00507B88" w:rsidRPr="001050B9" w:rsidRDefault="00490511" w:rsidP="001050B9">
      <w:pPr>
        <w:pStyle w:val="PlainText"/>
        <w:ind w:left="720" w:hanging="720"/>
        <w:rPr>
          <w:lang w:val="en-US"/>
        </w:rPr>
      </w:pPr>
      <w:r>
        <w:rPr>
          <w:rFonts w:asciiTheme="minorHAnsi" w:hAnsiTheme="minorHAnsi" w:cstheme="minorHAnsi"/>
          <w:lang w:eastAsia="en-NZ"/>
        </w:rPr>
        <w:t>31</w:t>
      </w:r>
      <w:r w:rsidR="00507B88" w:rsidRPr="00507B88">
        <w:rPr>
          <w:rFonts w:asciiTheme="minorHAnsi" w:hAnsiTheme="minorHAnsi" w:cstheme="minorHAnsi"/>
          <w:lang w:eastAsia="en-NZ"/>
        </w:rPr>
        <w:tab/>
      </w:r>
      <w:r w:rsidR="00507B88" w:rsidRPr="00507B88">
        <w:rPr>
          <w:rFonts w:asciiTheme="minorHAnsi" w:hAnsiTheme="minorHAnsi" w:cstheme="minorHAnsi"/>
        </w:rPr>
        <w:t xml:space="preserve">Increasing income inequality has been attributed to technological change, globalisation and changes in the make-up of households. Evidence suggests that increases </w:t>
      </w:r>
      <w:r w:rsidR="004418BB">
        <w:rPr>
          <w:rFonts w:asciiTheme="minorHAnsi" w:hAnsiTheme="minorHAnsi" w:cstheme="minorHAnsi"/>
        </w:rPr>
        <w:t xml:space="preserve">in </w:t>
      </w:r>
      <w:r w:rsidR="00507B88" w:rsidRPr="00507B88">
        <w:rPr>
          <w:rFonts w:asciiTheme="minorHAnsi" w:hAnsiTheme="minorHAnsi" w:cstheme="minorHAnsi"/>
        </w:rPr>
        <w:t xml:space="preserve">single adult families and changes in social-demographics played a role in the increase in inequality in New Zealand.  Empirical evidence linking inequality and growth is </w:t>
      </w:r>
      <w:r w:rsidR="00A8699B">
        <w:rPr>
          <w:rFonts w:asciiTheme="minorHAnsi" w:hAnsiTheme="minorHAnsi" w:cstheme="minorHAnsi"/>
        </w:rPr>
        <w:t xml:space="preserve">very </w:t>
      </w:r>
      <w:r w:rsidR="00507B88" w:rsidRPr="00507B88">
        <w:rPr>
          <w:rFonts w:asciiTheme="minorHAnsi" w:hAnsiTheme="minorHAnsi" w:cstheme="minorHAnsi"/>
        </w:rPr>
        <w:t>inconclusive</w:t>
      </w:r>
      <w:r w:rsidR="001050B9">
        <w:rPr>
          <w:rFonts w:asciiTheme="minorHAnsi" w:hAnsiTheme="minorHAnsi" w:cstheme="minorHAnsi"/>
          <w:b/>
        </w:rPr>
        <w:t xml:space="preserve">, </w:t>
      </w:r>
      <w:r w:rsidR="001050B9">
        <w:rPr>
          <w:lang w:val="en-US"/>
        </w:rPr>
        <w:t>See “In</w:t>
      </w:r>
      <w:r w:rsidR="001050B9" w:rsidRPr="00220EFB">
        <w:rPr>
          <w:i/>
          <w:lang w:val="en-US"/>
        </w:rPr>
        <w:t xml:space="preserve"> Defense of Equity</w:t>
      </w:r>
      <w:r w:rsidR="001050B9">
        <w:rPr>
          <w:lang w:val="en-US"/>
        </w:rPr>
        <w:t xml:space="preserve">”, Prospect, Richard Wilkinson, 2010, </w:t>
      </w:r>
      <w:r w:rsidR="001050B9">
        <w:rPr>
          <w:rStyle w:val="Strong"/>
          <w:rFonts w:asciiTheme="minorHAnsi" w:hAnsiTheme="minorHAnsi" w:cstheme="minorHAnsi"/>
          <w:b w:val="0"/>
          <w:lang w:val="en-US"/>
        </w:rPr>
        <w:t>“</w:t>
      </w:r>
      <w:r w:rsidR="001050B9" w:rsidRPr="00220EFB">
        <w:rPr>
          <w:rStyle w:val="Strong"/>
          <w:rFonts w:asciiTheme="minorHAnsi" w:hAnsiTheme="minorHAnsi" w:cstheme="minorHAnsi"/>
          <w:b w:val="0"/>
          <w:i/>
          <w:lang w:val="en-US"/>
        </w:rPr>
        <w:t>Why Inequality Matters, and What We Should Do About It</w:t>
      </w:r>
      <w:r w:rsidR="001050B9">
        <w:rPr>
          <w:rStyle w:val="Strong"/>
          <w:rFonts w:asciiTheme="minorHAnsi" w:hAnsiTheme="minorHAnsi" w:cstheme="minorHAnsi"/>
          <w:b w:val="0"/>
          <w:lang w:val="en-US"/>
        </w:rPr>
        <w:t>”</w:t>
      </w:r>
      <w:r w:rsidR="001050B9" w:rsidRPr="00220EFB">
        <w:rPr>
          <w:rStyle w:val="Strong"/>
          <w:rFonts w:asciiTheme="minorHAnsi" w:hAnsiTheme="minorHAnsi" w:cstheme="minorHAnsi"/>
          <w:b w:val="0"/>
          <w:lang w:val="en-US"/>
        </w:rPr>
        <w:t>, Andrew Leigh</w:t>
      </w:r>
      <w:r w:rsidR="001050B9">
        <w:rPr>
          <w:rStyle w:val="Strong"/>
          <w:rFonts w:asciiTheme="minorHAnsi" w:hAnsiTheme="minorHAnsi" w:cstheme="minorHAnsi"/>
          <w:b w:val="0"/>
          <w:lang w:val="en-US"/>
        </w:rPr>
        <w:t>,</w:t>
      </w:r>
      <w:r w:rsidR="001050B9" w:rsidRPr="00220EFB">
        <w:rPr>
          <w:rStyle w:val="Strong"/>
          <w:rFonts w:asciiTheme="minorHAnsi" w:hAnsiTheme="minorHAnsi" w:cstheme="minorHAnsi"/>
          <w:b w:val="0"/>
          <w:lang w:val="en-US"/>
        </w:rPr>
        <w:t xml:space="preserve"> Federal Member for Fraser, Labour Party</w:t>
      </w:r>
      <w:r w:rsidR="001050B9" w:rsidRPr="00220EFB">
        <w:rPr>
          <w:rFonts w:asciiTheme="minorHAnsi" w:hAnsiTheme="minorHAnsi" w:cstheme="minorHAnsi"/>
          <w:b/>
          <w:bCs/>
          <w:lang w:val="en-US"/>
        </w:rPr>
        <w:t xml:space="preserve">, </w:t>
      </w:r>
      <w:r w:rsidR="001050B9" w:rsidRPr="00220EFB">
        <w:rPr>
          <w:rStyle w:val="Strong"/>
          <w:rFonts w:asciiTheme="minorHAnsi" w:hAnsiTheme="minorHAnsi" w:cstheme="minorHAnsi"/>
          <w:b w:val="0"/>
          <w:lang w:val="en-US"/>
        </w:rPr>
        <w:t>Sydney Institute</w:t>
      </w:r>
      <w:r w:rsidR="001050B9">
        <w:rPr>
          <w:rFonts w:asciiTheme="minorHAnsi" w:hAnsiTheme="minorHAnsi" w:cstheme="minorHAnsi"/>
          <w:b/>
          <w:bCs/>
          <w:lang w:val="en-US"/>
        </w:rPr>
        <w:t xml:space="preserve">, </w:t>
      </w:r>
      <w:r w:rsidR="001050B9" w:rsidRPr="00220EFB">
        <w:rPr>
          <w:rStyle w:val="Strong"/>
          <w:rFonts w:asciiTheme="minorHAnsi" w:hAnsiTheme="minorHAnsi" w:cstheme="minorHAnsi"/>
          <w:b w:val="0"/>
          <w:lang w:val="en-US"/>
        </w:rPr>
        <w:t>2012</w:t>
      </w:r>
      <w:r w:rsidR="001050B9">
        <w:rPr>
          <w:rStyle w:val="Strong"/>
          <w:rFonts w:asciiTheme="minorHAnsi" w:hAnsiTheme="minorHAnsi" w:cstheme="minorHAnsi"/>
          <w:b w:val="0"/>
          <w:lang w:val="en-US"/>
        </w:rPr>
        <w:t xml:space="preserve">, </w:t>
      </w:r>
      <w:r w:rsidR="001050B9" w:rsidRPr="001050B9">
        <w:rPr>
          <w:rFonts w:asciiTheme="minorHAnsi" w:hAnsiTheme="minorHAnsi" w:cstheme="minorHAnsi"/>
          <w:i/>
          <w:iCs/>
        </w:rPr>
        <w:t>“Econ</w:t>
      </w:r>
      <w:r w:rsidR="001050B9">
        <w:rPr>
          <w:rFonts w:cstheme="minorHAnsi"/>
          <w:i/>
          <w:iCs/>
        </w:rPr>
        <w:t xml:space="preserve">omic Growth and Subjective Well-Being: Reassessing </w:t>
      </w:r>
      <w:r w:rsidR="001050B9" w:rsidRPr="001050B9">
        <w:rPr>
          <w:rFonts w:asciiTheme="minorHAnsi" w:hAnsiTheme="minorHAnsi" w:cstheme="minorHAnsi"/>
          <w:i/>
          <w:iCs/>
        </w:rPr>
        <w:t xml:space="preserve">the Easterlin Paradox”, </w:t>
      </w:r>
      <w:r w:rsidR="001050B9" w:rsidRPr="001050B9">
        <w:rPr>
          <w:rFonts w:asciiTheme="minorHAnsi" w:hAnsiTheme="minorHAnsi" w:cstheme="minorHAnsi"/>
        </w:rPr>
        <w:t>B</w:t>
      </w:r>
      <w:r w:rsidR="001050B9">
        <w:rPr>
          <w:rFonts w:cstheme="minorHAnsi"/>
        </w:rPr>
        <w:t xml:space="preserve">etsy </w:t>
      </w:r>
      <w:r w:rsidR="001050B9" w:rsidRPr="001050B9">
        <w:rPr>
          <w:rFonts w:asciiTheme="minorHAnsi" w:hAnsiTheme="minorHAnsi" w:cstheme="minorHAnsi"/>
        </w:rPr>
        <w:t>S</w:t>
      </w:r>
      <w:r w:rsidR="001050B9">
        <w:rPr>
          <w:rFonts w:cstheme="minorHAnsi"/>
        </w:rPr>
        <w:t>tevenson</w:t>
      </w:r>
      <w:r w:rsidR="001050B9" w:rsidRPr="001050B9">
        <w:rPr>
          <w:rFonts w:asciiTheme="minorHAnsi" w:hAnsiTheme="minorHAnsi" w:cstheme="minorHAnsi"/>
        </w:rPr>
        <w:t>, J</w:t>
      </w:r>
      <w:r w:rsidR="001050B9">
        <w:rPr>
          <w:rFonts w:cstheme="minorHAnsi"/>
        </w:rPr>
        <w:t>ustin Wolfers</w:t>
      </w:r>
      <w:r w:rsidR="001050B9" w:rsidRPr="001050B9">
        <w:rPr>
          <w:rFonts w:asciiTheme="minorHAnsi" w:hAnsiTheme="minorHAnsi" w:cstheme="minorHAnsi"/>
        </w:rPr>
        <w:t xml:space="preserve">, </w:t>
      </w:r>
      <w:r w:rsidR="001050B9" w:rsidRPr="00B20691">
        <w:rPr>
          <w:rFonts w:asciiTheme="minorHAnsi" w:hAnsiTheme="minorHAnsi" w:cstheme="minorHAnsi"/>
          <w:iCs/>
        </w:rPr>
        <w:t>University of Pennsylvania, Brookings Papers on Economic Activity</w:t>
      </w:r>
      <w:r w:rsidR="001050B9" w:rsidRPr="001050B9">
        <w:rPr>
          <w:rFonts w:asciiTheme="minorHAnsi" w:hAnsiTheme="minorHAnsi" w:cstheme="minorHAnsi"/>
          <w:i/>
          <w:iCs/>
        </w:rPr>
        <w:t xml:space="preserve">, </w:t>
      </w:r>
      <w:r w:rsidR="001050B9" w:rsidRPr="001050B9">
        <w:rPr>
          <w:rFonts w:asciiTheme="minorHAnsi" w:hAnsiTheme="minorHAnsi" w:cstheme="minorHAnsi"/>
        </w:rPr>
        <w:t>Spring 2008</w:t>
      </w:r>
      <w:r w:rsidR="001050B9">
        <w:rPr>
          <w:rFonts w:asciiTheme="minorHAnsi" w:hAnsiTheme="minorHAnsi" w:cstheme="minorHAnsi"/>
        </w:rPr>
        <w:t>. However, t</w:t>
      </w:r>
      <w:r w:rsidR="00507B88" w:rsidRPr="00507B88">
        <w:rPr>
          <w:rFonts w:asciiTheme="minorHAnsi" w:hAnsiTheme="minorHAnsi" w:cstheme="minorHAnsi"/>
        </w:rPr>
        <w:t>here is somewhat more evidence available regarding the marginal effect of growth pol</w:t>
      </w:r>
      <w:r w:rsidR="00A8699B">
        <w:rPr>
          <w:rFonts w:asciiTheme="minorHAnsi" w:hAnsiTheme="minorHAnsi" w:cstheme="minorHAnsi"/>
        </w:rPr>
        <w:t>icies</w:t>
      </w:r>
      <w:r w:rsidR="009C3996">
        <w:rPr>
          <w:rFonts w:asciiTheme="minorHAnsi" w:hAnsiTheme="minorHAnsi" w:cstheme="minorHAnsi"/>
        </w:rPr>
        <w:t>,</w:t>
      </w:r>
      <w:r w:rsidR="00A8699B">
        <w:rPr>
          <w:rFonts w:asciiTheme="minorHAnsi" w:hAnsiTheme="minorHAnsi" w:cstheme="minorHAnsi"/>
        </w:rPr>
        <w:t xml:space="preserve"> </w:t>
      </w:r>
      <w:r w:rsidR="00507B88" w:rsidRPr="00507B88">
        <w:rPr>
          <w:rFonts w:asciiTheme="minorHAnsi" w:hAnsiTheme="minorHAnsi" w:cstheme="minorHAnsi"/>
        </w:rPr>
        <w:t>both structural and taxes:</w:t>
      </w:r>
    </w:p>
    <w:p w:rsidR="00507B88" w:rsidRPr="00507B88" w:rsidRDefault="00507B88" w:rsidP="00507B88">
      <w:pPr>
        <w:pStyle w:val="ListParagraph"/>
        <w:ind w:left="0"/>
        <w:rPr>
          <w:rFonts w:asciiTheme="minorHAnsi" w:hAnsiTheme="minorHAnsi" w:cstheme="minorHAnsi"/>
        </w:rPr>
      </w:pPr>
    </w:p>
    <w:p w:rsidR="00507B88" w:rsidRPr="00507B88" w:rsidRDefault="00507B88" w:rsidP="003866C7">
      <w:pPr>
        <w:pStyle w:val="Heading2"/>
        <w:keepLines w:val="0"/>
        <w:numPr>
          <w:ilvl w:val="0"/>
          <w:numId w:val="1"/>
        </w:numPr>
        <w:spacing w:before="60" w:after="240" w:line="240" w:lineRule="auto"/>
        <w:jc w:val="both"/>
        <w:rPr>
          <w:rFonts w:asciiTheme="minorHAnsi" w:hAnsiTheme="minorHAnsi" w:cstheme="minorHAnsi"/>
          <w:b w:val="0"/>
          <w:i/>
          <w:color w:val="auto"/>
          <w:sz w:val="22"/>
          <w:szCs w:val="22"/>
        </w:rPr>
      </w:pPr>
      <w:r w:rsidRPr="00507B88">
        <w:rPr>
          <w:rFonts w:asciiTheme="minorHAnsi" w:hAnsiTheme="minorHAnsi" w:cstheme="minorHAnsi"/>
          <w:b w:val="0"/>
          <w:i/>
          <w:color w:val="auto"/>
          <w:sz w:val="22"/>
          <w:szCs w:val="22"/>
        </w:rPr>
        <w:t xml:space="preserve">Illustrative policies to lower income inequality and lead to higher GDP:  </w:t>
      </w:r>
      <w:r w:rsidRPr="00507B88">
        <w:rPr>
          <w:rFonts w:asciiTheme="minorHAnsi" w:hAnsiTheme="minorHAnsi" w:cstheme="minorHAnsi"/>
          <w:b w:val="0"/>
          <w:color w:val="auto"/>
          <w:sz w:val="22"/>
          <w:szCs w:val="22"/>
        </w:rPr>
        <w:t>(i)</w:t>
      </w:r>
      <w:r w:rsidRPr="00507B88">
        <w:rPr>
          <w:rFonts w:asciiTheme="minorHAnsi" w:hAnsiTheme="minorHAnsi" w:cstheme="minorHAnsi"/>
          <w:b w:val="0"/>
          <w:i/>
          <w:color w:val="auto"/>
          <w:sz w:val="22"/>
          <w:szCs w:val="22"/>
        </w:rPr>
        <w:t xml:space="preserve"> </w:t>
      </w:r>
      <w:r w:rsidRPr="00507B88">
        <w:rPr>
          <w:rFonts w:asciiTheme="minorHAnsi" w:hAnsiTheme="minorHAnsi" w:cstheme="minorHAnsi"/>
          <w:b w:val="0"/>
          <w:color w:val="auto"/>
          <w:sz w:val="22"/>
          <w:szCs w:val="22"/>
        </w:rPr>
        <w:t xml:space="preserve">Improving the quality, quantity and equity of education outcomes; (ii) increased spending on effective active labour market policies and improving the integration of migrants into the labour force; (iii) fostering female labour market participation and fighting discrimination; (iv) reducing tax expenditures on higher incomes; and (v) moving from labour income to property and capital gains taxes. </w:t>
      </w:r>
    </w:p>
    <w:p w:rsidR="00507B88" w:rsidRPr="00507B88" w:rsidRDefault="00507B88" w:rsidP="003866C7">
      <w:pPr>
        <w:pStyle w:val="Heading2"/>
        <w:keepLines w:val="0"/>
        <w:numPr>
          <w:ilvl w:val="0"/>
          <w:numId w:val="1"/>
        </w:numPr>
        <w:spacing w:before="60" w:after="240" w:line="240" w:lineRule="auto"/>
        <w:jc w:val="both"/>
        <w:rPr>
          <w:rFonts w:asciiTheme="minorHAnsi" w:hAnsiTheme="minorHAnsi" w:cstheme="minorHAnsi"/>
          <w:b w:val="0"/>
          <w:color w:val="auto"/>
          <w:sz w:val="22"/>
          <w:szCs w:val="22"/>
        </w:rPr>
      </w:pPr>
      <w:r w:rsidRPr="00507B88">
        <w:rPr>
          <w:rFonts w:asciiTheme="minorHAnsi" w:hAnsiTheme="minorHAnsi" w:cstheme="minorHAnsi"/>
          <w:b w:val="0"/>
          <w:i/>
          <w:color w:val="auto"/>
          <w:sz w:val="22"/>
          <w:szCs w:val="22"/>
        </w:rPr>
        <w:t xml:space="preserve">Illustrative policies that could lead to higher GDP but have an uncertain effect on income inequality: </w:t>
      </w:r>
      <w:r w:rsidRPr="00507B88">
        <w:rPr>
          <w:rFonts w:asciiTheme="minorHAnsi" w:hAnsiTheme="minorHAnsi" w:cstheme="minorHAnsi"/>
          <w:b w:val="0"/>
          <w:color w:val="auto"/>
          <w:sz w:val="22"/>
          <w:szCs w:val="22"/>
        </w:rPr>
        <w:t xml:space="preserve">(i) avoiding high and long-lasting unemployment benefits; (ii) product market </w:t>
      </w:r>
      <w:r w:rsidRPr="00507B88">
        <w:rPr>
          <w:rFonts w:asciiTheme="minorHAnsi" w:hAnsiTheme="minorHAnsi" w:cstheme="minorHAnsi"/>
          <w:b w:val="0"/>
          <w:color w:val="auto"/>
          <w:sz w:val="22"/>
          <w:szCs w:val="22"/>
        </w:rPr>
        <w:lastRenderedPageBreak/>
        <w:t>reform; (iii</w:t>
      </w:r>
      <w:r w:rsidR="004855C6">
        <w:rPr>
          <w:rFonts w:asciiTheme="minorHAnsi" w:hAnsiTheme="minorHAnsi" w:cstheme="minorHAnsi"/>
          <w:b w:val="0"/>
          <w:color w:val="auto"/>
          <w:sz w:val="22"/>
          <w:szCs w:val="22"/>
        </w:rPr>
        <w:t xml:space="preserve">) lower minimum wages; and (iv) </w:t>
      </w:r>
      <w:r w:rsidRPr="00507B88">
        <w:rPr>
          <w:rFonts w:asciiTheme="minorHAnsi" w:hAnsiTheme="minorHAnsi" w:cstheme="minorHAnsi"/>
          <w:b w:val="0"/>
          <w:color w:val="auto"/>
          <w:sz w:val="22"/>
          <w:szCs w:val="22"/>
        </w:rPr>
        <w:t>shifting the tax base away from income and labour tax to property wealth and inheritance taxes.</w:t>
      </w:r>
    </w:p>
    <w:p w:rsidR="00507B88" w:rsidRPr="00507B88" w:rsidRDefault="00507B88" w:rsidP="003866C7">
      <w:pPr>
        <w:pStyle w:val="Heading4"/>
        <w:keepLines w:val="0"/>
        <w:numPr>
          <w:ilvl w:val="0"/>
          <w:numId w:val="1"/>
        </w:numPr>
        <w:spacing w:before="0" w:after="240" w:line="240" w:lineRule="auto"/>
        <w:jc w:val="both"/>
        <w:rPr>
          <w:rFonts w:asciiTheme="minorHAnsi" w:hAnsiTheme="minorHAnsi" w:cstheme="minorHAnsi"/>
          <w:b w:val="0"/>
          <w:color w:val="auto"/>
        </w:rPr>
      </w:pPr>
      <w:r w:rsidRPr="00507B88">
        <w:rPr>
          <w:rFonts w:asciiTheme="minorHAnsi" w:hAnsiTheme="minorHAnsi" w:cstheme="minorHAnsi"/>
          <w:b w:val="0"/>
          <w:color w:val="auto"/>
        </w:rPr>
        <w:t>Illustrative policies that could lift growth but would likely lead to higher inequality:</w:t>
      </w:r>
      <w:r w:rsidR="004855C6">
        <w:rPr>
          <w:rFonts w:asciiTheme="minorHAnsi" w:hAnsiTheme="minorHAnsi" w:cstheme="minorHAnsi"/>
          <w:b w:val="0"/>
          <w:i w:val="0"/>
          <w:color w:val="auto"/>
        </w:rPr>
        <w:t xml:space="preserve"> (i) </w:t>
      </w:r>
      <w:r w:rsidRPr="00507B88">
        <w:rPr>
          <w:rFonts w:asciiTheme="minorHAnsi" w:hAnsiTheme="minorHAnsi" w:cstheme="minorHAnsi"/>
          <w:b w:val="0"/>
          <w:i w:val="0"/>
          <w:color w:val="auto"/>
        </w:rPr>
        <w:t xml:space="preserve">increasing the flexibility of wage setting; and (ii) shifting the tax base away from income and labour tax to real estate or consumption taxes. </w:t>
      </w:r>
    </w:p>
    <w:p w:rsidR="004B6659" w:rsidRPr="00A4719A" w:rsidRDefault="00490511" w:rsidP="00A4719A">
      <w:pPr>
        <w:ind w:left="720" w:hanging="720"/>
        <w:rPr>
          <w:rStyle w:val="Strong"/>
          <w:b w:val="0"/>
          <w:bCs w:val="0"/>
        </w:rPr>
      </w:pPr>
      <w:r>
        <w:rPr>
          <w:lang w:eastAsia="en-NZ"/>
        </w:rPr>
        <w:t>32</w:t>
      </w:r>
      <w:r w:rsidR="004855C6">
        <w:rPr>
          <w:lang w:eastAsia="en-NZ"/>
        </w:rPr>
        <w:tab/>
      </w:r>
      <w:r w:rsidR="00AC2E15">
        <w:t xml:space="preserve">A sole focus on reducing income </w:t>
      </w:r>
      <w:r w:rsidR="004F54CE">
        <w:t>in</w:t>
      </w:r>
      <w:r w:rsidR="00AC2E15">
        <w:t xml:space="preserve">equality is overly simplistic. This </w:t>
      </w:r>
      <w:hyperlink r:id="rId11" w:tgtFrame="_blank" w:history="1">
        <w:r w:rsidR="00AC2E15">
          <w:rPr>
            <w:rStyle w:val="Hyperlink"/>
            <w:color w:val="auto"/>
          </w:rPr>
          <w:t>OECD study</w:t>
        </w:r>
      </w:hyperlink>
      <w:r w:rsidR="00AC2E15">
        <w:t xml:space="preserve"> looks at income growth for the top 10% and the bottom 10%, between the mid-1980s and the late 2000s</w:t>
      </w:r>
      <w:r w:rsidR="009B352B">
        <w:t xml:space="preserve"> (</w:t>
      </w:r>
      <w:r w:rsidR="009B352B" w:rsidRPr="004418BB">
        <w:rPr>
          <w:rFonts w:cstheme="minorHAnsi"/>
          <w:i/>
        </w:rPr>
        <w:t>Divided We Stand: Why Inequality</w:t>
      </w:r>
      <w:r w:rsidR="004418BB" w:rsidRPr="004418BB">
        <w:rPr>
          <w:rFonts w:cstheme="minorHAnsi"/>
          <w:i/>
        </w:rPr>
        <w:t xml:space="preserve"> Keeps Rising</w:t>
      </w:r>
      <w:r w:rsidR="004418BB">
        <w:rPr>
          <w:rFonts w:cstheme="minorHAnsi"/>
        </w:rPr>
        <w:t>,</w:t>
      </w:r>
      <w:r w:rsidR="009B352B" w:rsidRPr="009B352B">
        <w:rPr>
          <w:rFonts w:cstheme="minorHAnsi"/>
        </w:rPr>
        <w:t xml:space="preserve"> OECD</w:t>
      </w:r>
      <w:r w:rsidR="009B352B">
        <w:rPr>
          <w:rFonts w:cstheme="minorHAnsi"/>
        </w:rPr>
        <w:t>,</w:t>
      </w:r>
      <w:r w:rsidR="009B352B" w:rsidRPr="009B352B">
        <w:rPr>
          <w:rFonts w:cstheme="minorHAnsi"/>
        </w:rPr>
        <w:t xml:space="preserve"> 2011</w:t>
      </w:r>
      <w:r w:rsidR="009B352B">
        <w:t>).</w:t>
      </w:r>
      <w:r w:rsidR="00AC2E15">
        <w:t xml:space="preserve">  It seems reasonable to assume that if the income of the rich is growing much faster than the income of the poor, then inequality is increasing, and </w:t>
      </w:r>
      <w:r w:rsidR="00AC2E15">
        <w:rPr>
          <w:rStyle w:val="Emphasis"/>
        </w:rPr>
        <w:t>vice versa</w:t>
      </w:r>
      <w:r w:rsidR="00AC2E15">
        <w:t>.  So rather than look at all countries, if you focus on those where the difference is significant, say more than 1% per annum.  There are 8 countries where the rich did much better than the poor, headed by Sweden:</w:t>
      </w:r>
    </w:p>
    <w:p w:rsidR="00AC2E15" w:rsidRPr="00C86FF4" w:rsidRDefault="00AC2E15" w:rsidP="00C86FF4">
      <w:pPr>
        <w:pStyle w:val="NormalWeb"/>
        <w:ind w:left="1440"/>
        <w:rPr>
          <w:rFonts w:ascii="Calibri" w:hAnsi="Calibri" w:cs="Calibri"/>
          <w:sz w:val="18"/>
          <w:szCs w:val="18"/>
        </w:rPr>
      </w:pPr>
      <w:r w:rsidRPr="00C86FF4">
        <w:rPr>
          <w:rStyle w:val="Strong"/>
          <w:rFonts w:ascii="Calibri" w:hAnsi="Calibri" w:cs="Calibri"/>
          <w:sz w:val="18"/>
          <w:szCs w:val="18"/>
        </w:rPr>
        <w:t>Country  </w:t>
      </w:r>
      <w:r w:rsidRPr="00C86FF4">
        <w:rPr>
          <w:rStyle w:val="Strong"/>
          <w:rFonts w:ascii="Calibri" w:hAnsi="Calibri" w:cs="Calibri"/>
          <w:sz w:val="18"/>
          <w:szCs w:val="18"/>
        </w:rPr>
        <w:tab/>
      </w:r>
      <w:r w:rsidR="00C86FF4">
        <w:rPr>
          <w:rStyle w:val="Strong"/>
          <w:rFonts w:ascii="Calibri" w:hAnsi="Calibri" w:cs="Calibri"/>
          <w:sz w:val="18"/>
          <w:szCs w:val="18"/>
        </w:rPr>
        <w:tab/>
      </w:r>
      <w:r w:rsidRPr="00C86FF4">
        <w:rPr>
          <w:rStyle w:val="Strong"/>
          <w:rFonts w:ascii="Calibri" w:hAnsi="Calibri" w:cs="Calibri"/>
          <w:sz w:val="18"/>
          <w:szCs w:val="18"/>
        </w:rPr>
        <w:t>Top 10%  </w:t>
      </w:r>
      <w:r w:rsidRPr="00C86FF4">
        <w:rPr>
          <w:rStyle w:val="Strong"/>
          <w:rFonts w:ascii="Calibri" w:hAnsi="Calibri" w:cs="Calibri"/>
          <w:sz w:val="18"/>
          <w:szCs w:val="18"/>
        </w:rPr>
        <w:tab/>
      </w:r>
      <w:r w:rsidR="00C86FF4">
        <w:rPr>
          <w:rStyle w:val="Strong"/>
          <w:rFonts w:ascii="Calibri" w:hAnsi="Calibri" w:cs="Calibri"/>
          <w:sz w:val="18"/>
          <w:szCs w:val="18"/>
        </w:rPr>
        <w:tab/>
      </w:r>
      <w:r w:rsidRPr="00C86FF4">
        <w:rPr>
          <w:rStyle w:val="Strong"/>
          <w:rFonts w:ascii="Calibri" w:hAnsi="Calibri" w:cs="Calibri"/>
          <w:sz w:val="18"/>
          <w:szCs w:val="18"/>
        </w:rPr>
        <w:t>Bottom 10%  </w:t>
      </w:r>
      <w:r w:rsidRPr="00C86FF4">
        <w:rPr>
          <w:rStyle w:val="Strong"/>
          <w:rFonts w:ascii="Calibri" w:hAnsi="Calibri" w:cs="Calibri"/>
          <w:sz w:val="18"/>
          <w:szCs w:val="18"/>
        </w:rPr>
        <w:tab/>
        <w:t>Gap</w:t>
      </w:r>
    </w:p>
    <w:p w:rsidR="00AC2E15" w:rsidRPr="00C86FF4" w:rsidRDefault="00AC2E15" w:rsidP="00C86FF4">
      <w:pPr>
        <w:pStyle w:val="NormalWeb"/>
        <w:ind w:left="1440"/>
        <w:rPr>
          <w:rFonts w:ascii="Calibri" w:hAnsi="Calibri" w:cs="Calibri"/>
          <w:sz w:val="18"/>
          <w:szCs w:val="18"/>
        </w:rPr>
      </w:pPr>
      <w:r w:rsidRPr="00C86FF4">
        <w:rPr>
          <w:rFonts w:ascii="Calibri" w:hAnsi="Calibri" w:cs="Calibri"/>
          <w:sz w:val="18"/>
          <w:szCs w:val="18"/>
        </w:rPr>
        <w:t>Sweden      </w:t>
      </w:r>
      <w:r w:rsidRPr="00C86FF4">
        <w:rPr>
          <w:rFonts w:ascii="Calibri" w:hAnsi="Calibri" w:cs="Calibri"/>
          <w:sz w:val="18"/>
          <w:szCs w:val="18"/>
        </w:rPr>
        <w:tab/>
        <w:t xml:space="preserve"> 2.4%        </w:t>
      </w:r>
      <w:r w:rsidRPr="00C86FF4">
        <w:rPr>
          <w:rFonts w:ascii="Calibri" w:hAnsi="Calibri" w:cs="Calibri"/>
          <w:sz w:val="18"/>
          <w:szCs w:val="18"/>
        </w:rPr>
        <w:tab/>
        <w:t xml:space="preserve"> 0.4%         </w:t>
      </w:r>
      <w:r w:rsidRPr="00C86FF4">
        <w:rPr>
          <w:rFonts w:ascii="Calibri" w:hAnsi="Calibri" w:cs="Calibri"/>
          <w:sz w:val="18"/>
          <w:szCs w:val="18"/>
        </w:rPr>
        <w:tab/>
        <w:t>2.0%</w:t>
      </w:r>
    </w:p>
    <w:p w:rsidR="00AC2E15" w:rsidRPr="00C86FF4" w:rsidRDefault="00AC2E15" w:rsidP="00C86FF4">
      <w:pPr>
        <w:pStyle w:val="NormalWeb"/>
        <w:ind w:left="1440"/>
        <w:rPr>
          <w:rFonts w:ascii="Calibri" w:hAnsi="Calibri" w:cs="Calibri"/>
          <w:sz w:val="18"/>
          <w:szCs w:val="18"/>
        </w:rPr>
      </w:pPr>
      <w:r w:rsidRPr="00C86FF4">
        <w:rPr>
          <w:rFonts w:ascii="Calibri" w:hAnsi="Calibri" w:cs="Calibri"/>
          <w:sz w:val="18"/>
          <w:szCs w:val="18"/>
        </w:rPr>
        <w:t xml:space="preserve">Britain         </w:t>
      </w:r>
      <w:r w:rsidRPr="00C86FF4">
        <w:rPr>
          <w:rFonts w:ascii="Calibri" w:hAnsi="Calibri" w:cs="Calibri"/>
          <w:sz w:val="18"/>
          <w:szCs w:val="18"/>
        </w:rPr>
        <w:tab/>
        <w:t>2.5%        </w:t>
      </w:r>
      <w:r w:rsidRPr="00C86FF4">
        <w:rPr>
          <w:rFonts w:ascii="Calibri" w:hAnsi="Calibri" w:cs="Calibri"/>
          <w:sz w:val="18"/>
          <w:szCs w:val="18"/>
        </w:rPr>
        <w:tab/>
      </w:r>
      <w:r w:rsidR="00C86FF4">
        <w:rPr>
          <w:rFonts w:ascii="Calibri" w:hAnsi="Calibri" w:cs="Calibri"/>
          <w:sz w:val="18"/>
          <w:szCs w:val="18"/>
        </w:rPr>
        <w:tab/>
      </w:r>
      <w:r w:rsidRPr="00C86FF4">
        <w:rPr>
          <w:rFonts w:ascii="Calibri" w:hAnsi="Calibri" w:cs="Calibri"/>
          <w:sz w:val="18"/>
          <w:szCs w:val="18"/>
        </w:rPr>
        <w:t xml:space="preserve">0.9%         </w:t>
      </w:r>
      <w:r w:rsidRPr="00C86FF4">
        <w:rPr>
          <w:rFonts w:ascii="Calibri" w:hAnsi="Calibri" w:cs="Calibri"/>
          <w:sz w:val="18"/>
          <w:szCs w:val="18"/>
        </w:rPr>
        <w:tab/>
        <w:t>1.6%</w:t>
      </w:r>
    </w:p>
    <w:p w:rsidR="00AC2E15" w:rsidRPr="00C86FF4" w:rsidRDefault="00AC2E15" w:rsidP="00C86FF4">
      <w:pPr>
        <w:pStyle w:val="NormalWeb"/>
        <w:ind w:left="1440"/>
        <w:rPr>
          <w:rFonts w:ascii="Calibri" w:hAnsi="Calibri" w:cs="Calibri"/>
          <w:sz w:val="18"/>
          <w:szCs w:val="18"/>
        </w:rPr>
      </w:pPr>
      <w:r w:rsidRPr="00C86FF4">
        <w:rPr>
          <w:rFonts w:ascii="Calibri" w:hAnsi="Calibri" w:cs="Calibri"/>
          <w:sz w:val="18"/>
          <w:szCs w:val="18"/>
        </w:rPr>
        <w:t xml:space="preserve">Germany     </w:t>
      </w:r>
      <w:r w:rsidRPr="00C86FF4">
        <w:rPr>
          <w:rFonts w:ascii="Calibri" w:hAnsi="Calibri" w:cs="Calibri"/>
          <w:sz w:val="18"/>
          <w:szCs w:val="18"/>
        </w:rPr>
        <w:tab/>
        <w:t xml:space="preserve">1.6%         </w:t>
      </w:r>
      <w:r w:rsidRPr="00C86FF4">
        <w:rPr>
          <w:rFonts w:ascii="Calibri" w:hAnsi="Calibri" w:cs="Calibri"/>
          <w:sz w:val="18"/>
          <w:szCs w:val="18"/>
        </w:rPr>
        <w:tab/>
        <w:t xml:space="preserve">0.1%         </w:t>
      </w:r>
      <w:r w:rsidRPr="00C86FF4">
        <w:rPr>
          <w:rFonts w:ascii="Calibri" w:hAnsi="Calibri" w:cs="Calibri"/>
          <w:sz w:val="18"/>
          <w:szCs w:val="18"/>
        </w:rPr>
        <w:tab/>
        <w:t>1.5%</w:t>
      </w:r>
    </w:p>
    <w:p w:rsidR="00AC2E15" w:rsidRPr="00C86FF4" w:rsidRDefault="00AC2E15" w:rsidP="00C86FF4">
      <w:pPr>
        <w:pStyle w:val="NormalWeb"/>
        <w:ind w:left="1440"/>
        <w:rPr>
          <w:rFonts w:ascii="Calibri" w:hAnsi="Calibri" w:cs="Calibri"/>
          <w:sz w:val="18"/>
          <w:szCs w:val="18"/>
        </w:rPr>
      </w:pPr>
      <w:r w:rsidRPr="00C86FF4">
        <w:rPr>
          <w:rFonts w:ascii="Calibri" w:hAnsi="Calibri" w:cs="Calibri"/>
          <w:sz w:val="18"/>
          <w:szCs w:val="18"/>
        </w:rPr>
        <w:t xml:space="preserve">New Zealand </w:t>
      </w:r>
      <w:r w:rsidRPr="00C86FF4">
        <w:rPr>
          <w:rFonts w:ascii="Calibri" w:hAnsi="Calibri" w:cs="Calibri"/>
          <w:sz w:val="18"/>
          <w:szCs w:val="18"/>
        </w:rPr>
        <w:tab/>
        <w:t>2.5%      </w:t>
      </w:r>
      <w:r w:rsidRPr="00C86FF4">
        <w:rPr>
          <w:rFonts w:ascii="Calibri" w:hAnsi="Calibri" w:cs="Calibri"/>
          <w:sz w:val="18"/>
          <w:szCs w:val="18"/>
        </w:rPr>
        <w:tab/>
      </w:r>
      <w:r w:rsidR="00C86FF4">
        <w:rPr>
          <w:rFonts w:ascii="Calibri" w:hAnsi="Calibri" w:cs="Calibri"/>
          <w:sz w:val="18"/>
          <w:szCs w:val="18"/>
        </w:rPr>
        <w:tab/>
      </w:r>
      <w:r w:rsidRPr="00C86FF4">
        <w:rPr>
          <w:rFonts w:ascii="Calibri" w:hAnsi="Calibri" w:cs="Calibri"/>
          <w:sz w:val="18"/>
          <w:szCs w:val="18"/>
        </w:rPr>
        <w:t>1.1%          </w:t>
      </w:r>
      <w:r w:rsidRPr="00C86FF4">
        <w:rPr>
          <w:rFonts w:ascii="Calibri" w:hAnsi="Calibri" w:cs="Calibri"/>
          <w:sz w:val="18"/>
          <w:szCs w:val="18"/>
        </w:rPr>
        <w:tab/>
        <w:t>1.4%</w:t>
      </w:r>
    </w:p>
    <w:p w:rsidR="00AC2E15" w:rsidRPr="00C86FF4" w:rsidRDefault="00AC2E15" w:rsidP="00C86FF4">
      <w:pPr>
        <w:pStyle w:val="NormalWeb"/>
        <w:ind w:left="1440"/>
        <w:rPr>
          <w:rFonts w:ascii="Calibri" w:hAnsi="Calibri" w:cs="Calibri"/>
          <w:sz w:val="18"/>
          <w:szCs w:val="18"/>
        </w:rPr>
      </w:pPr>
      <w:r w:rsidRPr="00C86FF4">
        <w:rPr>
          <w:rFonts w:ascii="Calibri" w:hAnsi="Calibri" w:cs="Calibri"/>
          <w:sz w:val="18"/>
          <w:szCs w:val="18"/>
        </w:rPr>
        <w:t xml:space="preserve">USA             </w:t>
      </w:r>
      <w:r w:rsidRPr="00C86FF4">
        <w:rPr>
          <w:rFonts w:ascii="Calibri" w:hAnsi="Calibri" w:cs="Calibri"/>
          <w:sz w:val="18"/>
          <w:szCs w:val="18"/>
        </w:rPr>
        <w:tab/>
        <w:t>1.5%        </w:t>
      </w:r>
      <w:r w:rsidRPr="00C86FF4">
        <w:rPr>
          <w:rFonts w:ascii="Calibri" w:hAnsi="Calibri" w:cs="Calibri"/>
          <w:sz w:val="18"/>
          <w:szCs w:val="18"/>
        </w:rPr>
        <w:tab/>
      </w:r>
      <w:r w:rsidR="00C86FF4">
        <w:rPr>
          <w:rFonts w:ascii="Calibri" w:hAnsi="Calibri" w:cs="Calibri"/>
          <w:sz w:val="18"/>
          <w:szCs w:val="18"/>
        </w:rPr>
        <w:tab/>
      </w:r>
      <w:r w:rsidRPr="00C86FF4">
        <w:rPr>
          <w:rFonts w:ascii="Calibri" w:hAnsi="Calibri" w:cs="Calibri"/>
          <w:sz w:val="18"/>
          <w:szCs w:val="18"/>
        </w:rPr>
        <w:t xml:space="preserve">0.1%         </w:t>
      </w:r>
      <w:r w:rsidRPr="00C86FF4">
        <w:rPr>
          <w:rFonts w:ascii="Calibri" w:hAnsi="Calibri" w:cs="Calibri"/>
          <w:sz w:val="18"/>
          <w:szCs w:val="18"/>
        </w:rPr>
        <w:tab/>
        <w:t>1.4%</w:t>
      </w:r>
    </w:p>
    <w:p w:rsidR="00AC2E15" w:rsidRPr="00C86FF4" w:rsidRDefault="00AC2E15" w:rsidP="00C86FF4">
      <w:pPr>
        <w:pStyle w:val="NormalWeb"/>
        <w:ind w:left="1440"/>
        <w:rPr>
          <w:rFonts w:ascii="Calibri" w:hAnsi="Calibri" w:cs="Calibri"/>
          <w:sz w:val="18"/>
          <w:szCs w:val="18"/>
        </w:rPr>
      </w:pPr>
      <w:r w:rsidRPr="00C86FF4">
        <w:rPr>
          <w:rFonts w:ascii="Calibri" w:hAnsi="Calibri" w:cs="Calibri"/>
          <w:sz w:val="18"/>
          <w:szCs w:val="18"/>
        </w:rPr>
        <w:t xml:space="preserve">Norway       </w:t>
      </w:r>
      <w:r w:rsidRPr="00C86FF4">
        <w:rPr>
          <w:rFonts w:ascii="Calibri" w:hAnsi="Calibri" w:cs="Calibri"/>
          <w:sz w:val="18"/>
          <w:szCs w:val="18"/>
        </w:rPr>
        <w:tab/>
        <w:t> 2.7%        </w:t>
      </w:r>
      <w:r w:rsidRPr="00C86FF4">
        <w:rPr>
          <w:rFonts w:ascii="Calibri" w:hAnsi="Calibri" w:cs="Calibri"/>
          <w:sz w:val="18"/>
          <w:szCs w:val="18"/>
        </w:rPr>
        <w:tab/>
        <w:t>1.4%          </w:t>
      </w:r>
      <w:r w:rsidRPr="00C86FF4">
        <w:rPr>
          <w:rFonts w:ascii="Calibri" w:hAnsi="Calibri" w:cs="Calibri"/>
          <w:sz w:val="18"/>
          <w:szCs w:val="18"/>
        </w:rPr>
        <w:tab/>
        <w:t>1.3%</w:t>
      </w:r>
    </w:p>
    <w:p w:rsidR="00AC2E15" w:rsidRPr="00C86FF4" w:rsidRDefault="00AC2E15" w:rsidP="00C86FF4">
      <w:pPr>
        <w:pStyle w:val="NormalWeb"/>
        <w:ind w:left="1440"/>
        <w:rPr>
          <w:rFonts w:ascii="Calibri" w:hAnsi="Calibri" w:cs="Calibri"/>
          <w:sz w:val="18"/>
          <w:szCs w:val="18"/>
        </w:rPr>
      </w:pPr>
      <w:r w:rsidRPr="00C86FF4">
        <w:rPr>
          <w:rFonts w:ascii="Calibri" w:hAnsi="Calibri" w:cs="Calibri"/>
          <w:sz w:val="18"/>
          <w:szCs w:val="18"/>
        </w:rPr>
        <w:t xml:space="preserve">Finland         </w:t>
      </w:r>
      <w:r w:rsidRPr="00C86FF4">
        <w:rPr>
          <w:rFonts w:ascii="Calibri" w:hAnsi="Calibri" w:cs="Calibri"/>
          <w:sz w:val="18"/>
          <w:szCs w:val="18"/>
        </w:rPr>
        <w:tab/>
        <w:t xml:space="preserve">2.5%       </w:t>
      </w:r>
      <w:r w:rsidRPr="00C86FF4">
        <w:rPr>
          <w:rFonts w:ascii="Calibri" w:hAnsi="Calibri" w:cs="Calibri"/>
          <w:sz w:val="18"/>
          <w:szCs w:val="18"/>
        </w:rPr>
        <w:tab/>
      </w:r>
      <w:r w:rsidR="00C86FF4">
        <w:rPr>
          <w:rFonts w:ascii="Calibri" w:hAnsi="Calibri" w:cs="Calibri"/>
          <w:sz w:val="18"/>
          <w:szCs w:val="18"/>
        </w:rPr>
        <w:tab/>
      </w:r>
      <w:r w:rsidRPr="00C86FF4">
        <w:rPr>
          <w:rFonts w:ascii="Calibri" w:hAnsi="Calibri" w:cs="Calibri"/>
          <w:sz w:val="18"/>
          <w:szCs w:val="18"/>
        </w:rPr>
        <w:t>1.2%          </w:t>
      </w:r>
      <w:r w:rsidRPr="00C86FF4">
        <w:rPr>
          <w:rFonts w:ascii="Calibri" w:hAnsi="Calibri" w:cs="Calibri"/>
          <w:sz w:val="18"/>
          <w:szCs w:val="18"/>
        </w:rPr>
        <w:tab/>
        <w:t>1.3%</w:t>
      </w:r>
    </w:p>
    <w:p w:rsidR="00AC2E15" w:rsidRPr="00C86FF4" w:rsidRDefault="00AC2E15" w:rsidP="00C86FF4">
      <w:pPr>
        <w:pStyle w:val="NormalWeb"/>
        <w:ind w:left="1440"/>
        <w:rPr>
          <w:rFonts w:ascii="Calibri" w:hAnsi="Calibri" w:cs="Calibri"/>
          <w:sz w:val="18"/>
          <w:szCs w:val="18"/>
        </w:rPr>
      </w:pPr>
      <w:r w:rsidRPr="00C86FF4">
        <w:rPr>
          <w:rFonts w:ascii="Calibri" w:hAnsi="Calibri" w:cs="Calibri"/>
          <w:sz w:val="18"/>
          <w:szCs w:val="18"/>
        </w:rPr>
        <w:t>Holland        </w:t>
      </w:r>
      <w:r w:rsidRPr="00C86FF4">
        <w:rPr>
          <w:rFonts w:ascii="Calibri" w:hAnsi="Calibri" w:cs="Calibri"/>
          <w:sz w:val="18"/>
          <w:szCs w:val="18"/>
        </w:rPr>
        <w:tab/>
        <w:t xml:space="preserve">1.6%       </w:t>
      </w:r>
      <w:r w:rsidR="00C86FF4">
        <w:rPr>
          <w:rFonts w:ascii="Calibri" w:hAnsi="Calibri" w:cs="Calibri"/>
          <w:sz w:val="18"/>
          <w:szCs w:val="18"/>
        </w:rPr>
        <w:tab/>
      </w:r>
      <w:r w:rsidRPr="00C86FF4">
        <w:rPr>
          <w:rFonts w:ascii="Calibri" w:hAnsi="Calibri" w:cs="Calibri"/>
          <w:sz w:val="18"/>
          <w:szCs w:val="18"/>
        </w:rPr>
        <w:tab/>
        <w:t>0.5%          </w:t>
      </w:r>
      <w:r w:rsidRPr="00C86FF4">
        <w:rPr>
          <w:rFonts w:ascii="Calibri" w:hAnsi="Calibri" w:cs="Calibri"/>
          <w:sz w:val="18"/>
          <w:szCs w:val="18"/>
        </w:rPr>
        <w:tab/>
        <w:t>1.1%</w:t>
      </w:r>
    </w:p>
    <w:p w:rsidR="00AC2E15" w:rsidRPr="00C86FF4" w:rsidRDefault="00AC2E15" w:rsidP="00C86FF4">
      <w:pPr>
        <w:pStyle w:val="NormalWeb"/>
        <w:ind w:left="1440"/>
        <w:rPr>
          <w:rFonts w:asciiTheme="minorHAnsi" w:hAnsiTheme="minorHAnsi" w:cstheme="minorHAnsi"/>
          <w:sz w:val="18"/>
          <w:szCs w:val="18"/>
        </w:rPr>
      </w:pPr>
      <w:r w:rsidRPr="00C86FF4">
        <w:rPr>
          <w:rFonts w:asciiTheme="minorHAnsi" w:hAnsiTheme="minorHAnsi" w:cstheme="minorHAnsi"/>
          <w:sz w:val="18"/>
          <w:szCs w:val="18"/>
        </w:rPr>
        <w:t xml:space="preserve">And there were four countries where income got </w:t>
      </w:r>
      <w:r w:rsidRPr="00C86FF4">
        <w:rPr>
          <w:rStyle w:val="Emphasis"/>
          <w:rFonts w:asciiTheme="minorHAnsi" w:hAnsiTheme="minorHAnsi" w:cstheme="minorHAnsi"/>
          <w:i w:val="0"/>
          <w:sz w:val="18"/>
          <w:szCs w:val="18"/>
        </w:rPr>
        <w:t>much more equal</w:t>
      </w:r>
      <w:r w:rsidRPr="00C86FF4">
        <w:rPr>
          <w:rFonts w:asciiTheme="minorHAnsi" w:hAnsiTheme="minorHAnsi" w:cstheme="minorHAnsi"/>
          <w:sz w:val="18"/>
          <w:szCs w:val="18"/>
        </w:rPr>
        <w:t>:</w:t>
      </w:r>
    </w:p>
    <w:p w:rsidR="00AC2E15" w:rsidRPr="00C86FF4" w:rsidRDefault="00AC2E15" w:rsidP="00C86FF4">
      <w:pPr>
        <w:pStyle w:val="NormalWeb"/>
        <w:ind w:left="1440"/>
        <w:rPr>
          <w:rFonts w:ascii="Calibri" w:hAnsi="Calibri" w:cs="Calibri"/>
          <w:sz w:val="18"/>
          <w:szCs w:val="18"/>
        </w:rPr>
      </w:pPr>
      <w:r w:rsidRPr="00C86FF4">
        <w:rPr>
          <w:rFonts w:ascii="Calibri" w:hAnsi="Calibri" w:cs="Calibri"/>
          <w:sz w:val="18"/>
          <w:szCs w:val="18"/>
        </w:rPr>
        <w:t xml:space="preserve">Portugal     </w:t>
      </w:r>
      <w:r w:rsidRPr="00C86FF4">
        <w:rPr>
          <w:rFonts w:ascii="Calibri" w:hAnsi="Calibri" w:cs="Calibri"/>
          <w:sz w:val="18"/>
          <w:szCs w:val="18"/>
        </w:rPr>
        <w:tab/>
        <w:t>1.1%        </w:t>
      </w:r>
      <w:r w:rsidR="00C86FF4">
        <w:rPr>
          <w:rFonts w:ascii="Calibri" w:hAnsi="Calibri" w:cs="Calibri"/>
          <w:sz w:val="18"/>
          <w:szCs w:val="18"/>
        </w:rPr>
        <w:tab/>
      </w:r>
      <w:r w:rsidRPr="00C86FF4">
        <w:rPr>
          <w:rFonts w:ascii="Calibri" w:hAnsi="Calibri" w:cs="Calibri"/>
          <w:sz w:val="18"/>
          <w:szCs w:val="18"/>
        </w:rPr>
        <w:tab/>
        <w:t xml:space="preserve">3.6%       </w:t>
      </w:r>
      <w:r w:rsidRPr="00C86FF4">
        <w:rPr>
          <w:rFonts w:ascii="Calibri" w:hAnsi="Calibri" w:cs="Calibri"/>
          <w:sz w:val="18"/>
          <w:szCs w:val="18"/>
        </w:rPr>
        <w:tab/>
      </w:r>
      <w:r w:rsidR="00C86FF4">
        <w:rPr>
          <w:rFonts w:ascii="Calibri" w:hAnsi="Calibri" w:cs="Calibri"/>
          <w:sz w:val="18"/>
          <w:szCs w:val="18"/>
        </w:rPr>
        <w:tab/>
      </w:r>
      <w:r w:rsidR="00AD2DCB" w:rsidRPr="00C86FF4">
        <w:rPr>
          <w:rFonts w:ascii="Calibri" w:hAnsi="Calibri" w:cs="Calibri"/>
          <w:sz w:val="18"/>
          <w:szCs w:val="18"/>
        </w:rPr>
        <w:t> 2.5%</w:t>
      </w:r>
    </w:p>
    <w:p w:rsidR="00AC2E15" w:rsidRPr="00C86FF4" w:rsidRDefault="00AC2E15" w:rsidP="00C86FF4">
      <w:pPr>
        <w:pStyle w:val="NormalWeb"/>
        <w:ind w:left="1440"/>
        <w:rPr>
          <w:rFonts w:ascii="Calibri" w:hAnsi="Calibri" w:cs="Calibri"/>
          <w:sz w:val="18"/>
          <w:szCs w:val="18"/>
        </w:rPr>
      </w:pPr>
      <w:r w:rsidRPr="00C86FF4">
        <w:rPr>
          <w:rFonts w:ascii="Calibri" w:hAnsi="Calibri" w:cs="Calibri"/>
          <w:sz w:val="18"/>
          <w:szCs w:val="18"/>
        </w:rPr>
        <w:t xml:space="preserve">Greece       </w:t>
      </w:r>
      <w:r w:rsidRPr="00C86FF4">
        <w:rPr>
          <w:rFonts w:ascii="Calibri" w:hAnsi="Calibri" w:cs="Calibri"/>
          <w:sz w:val="18"/>
          <w:szCs w:val="18"/>
        </w:rPr>
        <w:tab/>
        <w:t xml:space="preserve">1.8%       </w:t>
      </w:r>
      <w:r w:rsidRPr="00C86FF4">
        <w:rPr>
          <w:rFonts w:ascii="Calibri" w:hAnsi="Calibri" w:cs="Calibri"/>
          <w:sz w:val="18"/>
          <w:szCs w:val="18"/>
        </w:rPr>
        <w:tab/>
      </w:r>
      <w:r w:rsidR="00C86FF4">
        <w:rPr>
          <w:rFonts w:ascii="Calibri" w:hAnsi="Calibri" w:cs="Calibri"/>
          <w:sz w:val="18"/>
          <w:szCs w:val="18"/>
        </w:rPr>
        <w:tab/>
      </w:r>
      <w:r w:rsidRPr="00C86FF4">
        <w:rPr>
          <w:rFonts w:ascii="Calibri" w:hAnsi="Calibri" w:cs="Calibri"/>
          <w:sz w:val="18"/>
          <w:szCs w:val="18"/>
        </w:rPr>
        <w:t>3.4%        </w:t>
      </w:r>
      <w:r w:rsidRPr="00C86FF4">
        <w:rPr>
          <w:rFonts w:ascii="Calibri" w:hAnsi="Calibri" w:cs="Calibri"/>
          <w:sz w:val="18"/>
          <w:szCs w:val="18"/>
        </w:rPr>
        <w:tab/>
      </w:r>
      <w:r w:rsidR="00C86FF4">
        <w:rPr>
          <w:rFonts w:ascii="Calibri" w:hAnsi="Calibri" w:cs="Calibri"/>
          <w:sz w:val="18"/>
          <w:szCs w:val="18"/>
        </w:rPr>
        <w:tab/>
      </w:r>
      <w:r w:rsidR="00AD2DCB" w:rsidRPr="00C86FF4">
        <w:rPr>
          <w:rFonts w:ascii="Calibri" w:hAnsi="Calibri" w:cs="Calibri"/>
          <w:sz w:val="18"/>
          <w:szCs w:val="18"/>
        </w:rPr>
        <w:t>1.6%</w:t>
      </w:r>
    </w:p>
    <w:p w:rsidR="00AC2E15" w:rsidRPr="00C86FF4" w:rsidRDefault="00AC2E15" w:rsidP="00C86FF4">
      <w:pPr>
        <w:pStyle w:val="NormalWeb"/>
        <w:ind w:left="1440"/>
        <w:rPr>
          <w:rFonts w:ascii="Calibri" w:hAnsi="Calibri" w:cs="Calibri"/>
          <w:sz w:val="18"/>
          <w:szCs w:val="18"/>
        </w:rPr>
      </w:pPr>
      <w:r w:rsidRPr="00C86FF4">
        <w:rPr>
          <w:rFonts w:ascii="Calibri" w:hAnsi="Calibri" w:cs="Calibri"/>
          <w:sz w:val="18"/>
          <w:szCs w:val="18"/>
        </w:rPr>
        <w:t xml:space="preserve">Spain         </w:t>
      </w:r>
      <w:r w:rsidRPr="00C86FF4">
        <w:rPr>
          <w:rFonts w:ascii="Calibri" w:hAnsi="Calibri" w:cs="Calibri"/>
          <w:sz w:val="18"/>
          <w:szCs w:val="18"/>
        </w:rPr>
        <w:tab/>
        <w:t xml:space="preserve">2.5%       </w:t>
      </w:r>
      <w:r w:rsidRPr="00C86FF4">
        <w:rPr>
          <w:rFonts w:ascii="Calibri" w:hAnsi="Calibri" w:cs="Calibri"/>
          <w:sz w:val="18"/>
          <w:szCs w:val="18"/>
        </w:rPr>
        <w:tab/>
      </w:r>
      <w:r w:rsidR="00C86FF4">
        <w:rPr>
          <w:rFonts w:ascii="Calibri" w:hAnsi="Calibri" w:cs="Calibri"/>
          <w:sz w:val="18"/>
          <w:szCs w:val="18"/>
        </w:rPr>
        <w:tab/>
      </w:r>
      <w:r w:rsidRPr="00C86FF4">
        <w:rPr>
          <w:rFonts w:ascii="Calibri" w:hAnsi="Calibri" w:cs="Calibri"/>
          <w:sz w:val="18"/>
          <w:szCs w:val="18"/>
        </w:rPr>
        <w:t>3.9%        </w:t>
      </w:r>
      <w:r w:rsidRPr="00C86FF4">
        <w:rPr>
          <w:rFonts w:ascii="Calibri" w:hAnsi="Calibri" w:cs="Calibri"/>
          <w:sz w:val="18"/>
          <w:szCs w:val="18"/>
        </w:rPr>
        <w:tab/>
      </w:r>
      <w:r w:rsidR="00C86FF4">
        <w:rPr>
          <w:rFonts w:ascii="Calibri" w:hAnsi="Calibri" w:cs="Calibri"/>
          <w:sz w:val="18"/>
          <w:szCs w:val="18"/>
        </w:rPr>
        <w:tab/>
      </w:r>
      <w:r w:rsidR="00AD2DCB" w:rsidRPr="00C86FF4">
        <w:rPr>
          <w:rFonts w:ascii="Calibri" w:hAnsi="Calibri" w:cs="Calibri"/>
          <w:sz w:val="18"/>
          <w:szCs w:val="18"/>
        </w:rPr>
        <w:t>1.4%</w:t>
      </w:r>
    </w:p>
    <w:p w:rsidR="00AC2E15" w:rsidRPr="00C86FF4" w:rsidRDefault="00AC2E15" w:rsidP="00C86FF4">
      <w:pPr>
        <w:pStyle w:val="NormalWeb"/>
        <w:ind w:left="1440"/>
        <w:rPr>
          <w:rFonts w:ascii="Calibri" w:hAnsi="Calibri" w:cs="Calibri"/>
          <w:sz w:val="18"/>
          <w:szCs w:val="18"/>
        </w:rPr>
      </w:pPr>
      <w:r w:rsidRPr="00C86FF4">
        <w:rPr>
          <w:rFonts w:ascii="Calibri" w:hAnsi="Calibri" w:cs="Calibri"/>
          <w:sz w:val="18"/>
          <w:szCs w:val="18"/>
        </w:rPr>
        <w:t xml:space="preserve">Ireland       </w:t>
      </w:r>
      <w:r w:rsidRPr="00C86FF4">
        <w:rPr>
          <w:rFonts w:ascii="Calibri" w:hAnsi="Calibri" w:cs="Calibri"/>
          <w:sz w:val="18"/>
          <w:szCs w:val="18"/>
        </w:rPr>
        <w:tab/>
        <w:t xml:space="preserve">2.5%       </w:t>
      </w:r>
      <w:r w:rsidRPr="00C86FF4">
        <w:rPr>
          <w:rFonts w:ascii="Calibri" w:hAnsi="Calibri" w:cs="Calibri"/>
          <w:sz w:val="18"/>
          <w:szCs w:val="18"/>
        </w:rPr>
        <w:tab/>
      </w:r>
      <w:r w:rsidR="00C86FF4">
        <w:rPr>
          <w:rFonts w:ascii="Calibri" w:hAnsi="Calibri" w:cs="Calibri"/>
          <w:sz w:val="18"/>
          <w:szCs w:val="18"/>
        </w:rPr>
        <w:tab/>
      </w:r>
      <w:r w:rsidRPr="00C86FF4">
        <w:rPr>
          <w:rFonts w:ascii="Calibri" w:hAnsi="Calibri" w:cs="Calibri"/>
          <w:sz w:val="18"/>
          <w:szCs w:val="18"/>
        </w:rPr>
        <w:t>3.9%        </w:t>
      </w:r>
      <w:r w:rsidRPr="00C86FF4">
        <w:rPr>
          <w:rFonts w:ascii="Calibri" w:hAnsi="Calibri" w:cs="Calibri"/>
          <w:sz w:val="18"/>
          <w:szCs w:val="18"/>
        </w:rPr>
        <w:tab/>
      </w:r>
      <w:r w:rsidR="00C86FF4">
        <w:rPr>
          <w:rFonts w:ascii="Calibri" w:hAnsi="Calibri" w:cs="Calibri"/>
          <w:sz w:val="18"/>
          <w:szCs w:val="18"/>
        </w:rPr>
        <w:tab/>
      </w:r>
      <w:r w:rsidR="00AD2DCB" w:rsidRPr="00C86FF4">
        <w:rPr>
          <w:rFonts w:ascii="Calibri" w:hAnsi="Calibri" w:cs="Calibri"/>
          <w:sz w:val="18"/>
          <w:szCs w:val="18"/>
        </w:rPr>
        <w:t>1.4%</w:t>
      </w:r>
    </w:p>
    <w:p w:rsidR="00AC2E15" w:rsidRDefault="00AC2E15" w:rsidP="004855C6">
      <w:pPr>
        <w:pStyle w:val="PlainText"/>
        <w:ind w:left="720" w:hanging="720"/>
        <w:rPr>
          <w:rFonts w:asciiTheme="minorHAnsi" w:hAnsiTheme="minorHAnsi" w:cstheme="minorBidi"/>
          <w:lang w:eastAsia="en-NZ"/>
        </w:rPr>
      </w:pPr>
    </w:p>
    <w:p w:rsidR="009815CC" w:rsidRDefault="00490511" w:rsidP="004855C6">
      <w:pPr>
        <w:pStyle w:val="PlainText"/>
        <w:ind w:left="720" w:hanging="720"/>
        <w:rPr>
          <w:rFonts w:asciiTheme="minorHAnsi" w:hAnsiTheme="minorHAnsi" w:cstheme="minorBidi"/>
          <w:lang w:eastAsia="en-NZ"/>
        </w:rPr>
      </w:pPr>
      <w:r>
        <w:rPr>
          <w:rFonts w:asciiTheme="minorHAnsi" w:hAnsiTheme="minorHAnsi" w:cstheme="minorBidi"/>
          <w:lang w:eastAsia="en-NZ"/>
        </w:rPr>
        <w:t>33</w:t>
      </w:r>
      <w:r w:rsidR="00AC2E15">
        <w:rPr>
          <w:rFonts w:asciiTheme="minorHAnsi" w:hAnsiTheme="minorHAnsi" w:cstheme="minorBidi"/>
          <w:lang w:eastAsia="en-NZ"/>
        </w:rPr>
        <w:tab/>
      </w:r>
      <w:r w:rsidR="009815CC">
        <w:rPr>
          <w:rFonts w:asciiTheme="minorHAnsi" w:hAnsiTheme="minorHAnsi" w:cstheme="minorBidi"/>
          <w:lang w:eastAsia="en-NZ"/>
        </w:rPr>
        <w:t xml:space="preserve">So while income inequity was improving in Spain, Greece, Portugal and Ireland over the period, </w:t>
      </w:r>
      <w:r w:rsidR="00CD7718">
        <w:rPr>
          <w:rFonts w:asciiTheme="minorHAnsi" w:hAnsiTheme="minorHAnsi" w:cstheme="minorBidi"/>
          <w:lang w:eastAsia="en-NZ"/>
        </w:rPr>
        <w:t xml:space="preserve">Govt. </w:t>
      </w:r>
      <w:r w:rsidR="009815CC">
        <w:rPr>
          <w:rFonts w:asciiTheme="minorHAnsi" w:hAnsiTheme="minorHAnsi" w:cstheme="minorBidi"/>
          <w:lang w:eastAsia="en-NZ"/>
        </w:rPr>
        <w:t xml:space="preserve">debt levels as a percentage of GDP </w:t>
      </w:r>
      <w:r w:rsidR="00F700B1">
        <w:rPr>
          <w:rFonts w:asciiTheme="minorHAnsi" w:hAnsiTheme="minorHAnsi" w:cstheme="minorBidi"/>
          <w:lang w:eastAsia="en-NZ"/>
        </w:rPr>
        <w:t>were greatly</w:t>
      </w:r>
      <w:r w:rsidR="00837985">
        <w:rPr>
          <w:rFonts w:asciiTheme="minorHAnsi" w:hAnsiTheme="minorHAnsi" w:cstheme="minorBidi"/>
          <w:lang w:eastAsia="en-NZ"/>
        </w:rPr>
        <w:t xml:space="preserve"> expanding </w:t>
      </w:r>
      <w:r w:rsidR="009815CC">
        <w:rPr>
          <w:rFonts w:asciiTheme="minorHAnsi" w:hAnsiTheme="minorHAnsi" w:cstheme="minorBidi"/>
          <w:lang w:eastAsia="en-NZ"/>
        </w:rPr>
        <w:t xml:space="preserve">and unemployment rates </w:t>
      </w:r>
      <w:r w:rsidR="00837985">
        <w:rPr>
          <w:rFonts w:asciiTheme="minorHAnsi" w:hAnsiTheme="minorHAnsi" w:cstheme="minorBidi"/>
          <w:lang w:eastAsia="en-NZ"/>
        </w:rPr>
        <w:t>for young</w:t>
      </w:r>
      <w:r w:rsidR="009815CC">
        <w:rPr>
          <w:rFonts w:asciiTheme="minorHAnsi" w:hAnsiTheme="minorHAnsi" w:cstheme="minorBidi"/>
          <w:lang w:eastAsia="en-NZ"/>
        </w:rPr>
        <w:t xml:space="preserve"> people under 25</w:t>
      </w:r>
      <w:r w:rsidR="009567A2">
        <w:rPr>
          <w:rFonts w:asciiTheme="minorHAnsi" w:hAnsiTheme="minorHAnsi" w:cstheme="minorBidi"/>
          <w:lang w:eastAsia="en-NZ"/>
        </w:rPr>
        <w:t xml:space="preserve"> </w:t>
      </w:r>
      <w:r w:rsidR="00024A8D">
        <w:rPr>
          <w:rFonts w:asciiTheme="minorHAnsi" w:hAnsiTheme="minorHAnsi" w:cstheme="minorBidi"/>
          <w:lang w:eastAsia="en-NZ"/>
        </w:rPr>
        <w:t>reached very high levels</w:t>
      </w:r>
      <w:r w:rsidR="00837985">
        <w:rPr>
          <w:rFonts w:asciiTheme="minorHAnsi" w:hAnsiTheme="minorHAnsi" w:cstheme="minorBidi"/>
          <w:lang w:eastAsia="en-NZ"/>
        </w:rPr>
        <w:t xml:space="preserve"> (Eurostat, 2012). </w:t>
      </w:r>
      <w:r w:rsidR="009815CC">
        <w:rPr>
          <w:rFonts w:asciiTheme="minorHAnsi" w:hAnsiTheme="minorHAnsi" w:cstheme="minorBidi"/>
          <w:lang w:eastAsia="en-NZ"/>
        </w:rPr>
        <w:t xml:space="preserve"> </w:t>
      </w:r>
    </w:p>
    <w:p w:rsidR="00837985" w:rsidRDefault="00837985" w:rsidP="00CD7718">
      <w:pPr>
        <w:pStyle w:val="PlainText"/>
        <w:rPr>
          <w:rFonts w:asciiTheme="minorHAnsi" w:hAnsiTheme="minorHAnsi" w:cstheme="minorBidi"/>
          <w:lang w:eastAsia="en-NZ"/>
        </w:rPr>
      </w:pPr>
    </w:p>
    <w:p w:rsidR="008546EA" w:rsidRDefault="008546EA" w:rsidP="00CD7718">
      <w:pPr>
        <w:pStyle w:val="PlainText"/>
        <w:rPr>
          <w:rFonts w:asciiTheme="minorHAnsi" w:hAnsiTheme="minorHAnsi" w:cstheme="minorBidi"/>
          <w:lang w:eastAsia="en-NZ"/>
        </w:rPr>
      </w:pPr>
    </w:p>
    <w:p w:rsidR="008546EA" w:rsidRDefault="008546EA" w:rsidP="00CD7718">
      <w:pPr>
        <w:pStyle w:val="PlainText"/>
        <w:rPr>
          <w:rFonts w:asciiTheme="minorHAnsi" w:hAnsiTheme="minorHAnsi" w:cstheme="minorBidi"/>
          <w:lang w:eastAsia="en-NZ"/>
        </w:rPr>
      </w:pPr>
    </w:p>
    <w:p w:rsidR="008546EA" w:rsidRDefault="008546EA" w:rsidP="00CD7718">
      <w:pPr>
        <w:pStyle w:val="PlainText"/>
        <w:rPr>
          <w:rFonts w:asciiTheme="minorHAnsi" w:hAnsiTheme="minorHAnsi" w:cstheme="minorBidi"/>
          <w:lang w:eastAsia="en-NZ"/>
        </w:rPr>
      </w:pPr>
    </w:p>
    <w:p w:rsidR="009815CC" w:rsidRDefault="009815CC" w:rsidP="004855C6">
      <w:pPr>
        <w:pStyle w:val="PlainText"/>
        <w:ind w:left="720" w:hanging="720"/>
        <w:rPr>
          <w:rFonts w:asciiTheme="minorHAnsi" w:hAnsiTheme="minorHAnsi" w:cstheme="minorBidi"/>
          <w:lang w:eastAsia="en-NZ"/>
        </w:rPr>
      </w:pPr>
    </w:p>
    <w:tbl>
      <w:tblPr>
        <w:tblStyle w:val="TableGrid"/>
        <w:tblW w:w="0" w:type="auto"/>
        <w:tblInd w:w="1440" w:type="dxa"/>
        <w:tblLook w:val="04A0" w:firstRow="1" w:lastRow="0" w:firstColumn="1" w:lastColumn="0" w:noHBand="0" w:noVBand="1"/>
      </w:tblPr>
      <w:tblGrid>
        <w:gridCol w:w="1730"/>
        <w:gridCol w:w="1720"/>
        <w:gridCol w:w="1816"/>
      </w:tblGrid>
      <w:tr w:rsidR="00837985" w:rsidTr="009567A2">
        <w:tc>
          <w:tcPr>
            <w:tcW w:w="1730" w:type="dxa"/>
          </w:tcPr>
          <w:p w:rsidR="00837985" w:rsidRPr="00837985" w:rsidRDefault="00837985" w:rsidP="004855C6">
            <w:pPr>
              <w:pStyle w:val="PlainText"/>
              <w:rPr>
                <w:rFonts w:asciiTheme="minorHAnsi" w:hAnsiTheme="minorHAnsi" w:cstheme="minorBidi"/>
                <w:b/>
                <w:lang w:eastAsia="en-NZ"/>
              </w:rPr>
            </w:pPr>
            <w:r w:rsidRPr="00837985">
              <w:rPr>
                <w:rFonts w:asciiTheme="minorHAnsi" w:hAnsiTheme="minorHAnsi" w:cstheme="minorBidi"/>
                <w:b/>
                <w:lang w:eastAsia="en-NZ"/>
              </w:rPr>
              <w:lastRenderedPageBreak/>
              <w:t>Country</w:t>
            </w:r>
          </w:p>
        </w:tc>
        <w:tc>
          <w:tcPr>
            <w:tcW w:w="1720" w:type="dxa"/>
          </w:tcPr>
          <w:p w:rsidR="00837985" w:rsidRPr="00837985" w:rsidRDefault="00837985" w:rsidP="00837985">
            <w:pPr>
              <w:pStyle w:val="PlainText"/>
              <w:rPr>
                <w:rFonts w:asciiTheme="minorHAnsi" w:hAnsiTheme="minorHAnsi" w:cstheme="minorBidi"/>
                <w:b/>
                <w:lang w:eastAsia="en-NZ"/>
              </w:rPr>
            </w:pPr>
            <w:r w:rsidRPr="00837985">
              <w:rPr>
                <w:rFonts w:asciiTheme="minorHAnsi" w:hAnsiTheme="minorHAnsi" w:cstheme="minorBidi"/>
                <w:b/>
                <w:lang w:eastAsia="en-NZ"/>
              </w:rPr>
              <w:t xml:space="preserve">Current </w:t>
            </w:r>
            <w:r w:rsidR="00CD7718">
              <w:rPr>
                <w:rFonts w:asciiTheme="minorHAnsi" w:hAnsiTheme="minorHAnsi" w:cstheme="minorBidi"/>
                <w:b/>
                <w:lang w:eastAsia="en-NZ"/>
              </w:rPr>
              <w:t xml:space="preserve">Govt. </w:t>
            </w:r>
            <w:r w:rsidRPr="00837985">
              <w:rPr>
                <w:rFonts w:asciiTheme="minorHAnsi" w:hAnsiTheme="minorHAnsi" w:cstheme="minorBidi"/>
                <w:b/>
                <w:lang w:eastAsia="en-NZ"/>
              </w:rPr>
              <w:t>debt levels as a % of GDP</w:t>
            </w:r>
            <w:r w:rsidR="009567A2">
              <w:rPr>
                <w:rFonts w:asciiTheme="minorHAnsi" w:hAnsiTheme="minorHAnsi" w:cstheme="minorBidi"/>
                <w:b/>
                <w:lang w:eastAsia="en-NZ"/>
              </w:rPr>
              <w:t xml:space="preserve"> (2010)</w:t>
            </w:r>
          </w:p>
        </w:tc>
        <w:tc>
          <w:tcPr>
            <w:tcW w:w="1816" w:type="dxa"/>
          </w:tcPr>
          <w:p w:rsidR="00837985" w:rsidRPr="00837985" w:rsidRDefault="00837985" w:rsidP="004855C6">
            <w:pPr>
              <w:pStyle w:val="PlainText"/>
              <w:rPr>
                <w:rFonts w:asciiTheme="minorHAnsi" w:hAnsiTheme="minorHAnsi" w:cstheme="minorBidi"/>
                <w:b/>
                <w:lang w:eastAsia="en-NZ"/>
              </w:rPr>
            </w:pPr>
            <w:r w:rsidRPr="00837985">
              <w:rPr>
                <w:rFonts w:asciiTheme="minorHAnsi" w:hAnsiTheme="minorHAnsi" w:cstheme="minorBidi"/>
                <w:b/>
                <w:lang w:eastAsia="en-NZ"/>
              </w:rPr>
              <w:t>Unemployment rates for  young people under 25</w:t>
            </w:r>
            <w:r w:rsidR="009567A2">
              <w:rPr>
                <w:rFonts w:asciiTheme="minorHAnsi" w:hAnsiTheme="minorHAnsi" w:cstheme="minorBidi"/>
                <w:b/>
                <w:lang w:eastAsia="en-NZ"/>
              </w:rPr>
              <w:t xml:space="preserve"> (2011)</w:t>
            </w:r>
          </w:p>
        </w:tc>
      </w:tr>
      <w:tr w:rsidR="00837985" w:rsidTr="009567A2">
        <w:tc>
          <w:tcPr>
            <w:tcW w:w="1730" w:type="dxa"/>
          </w:tcPr>
          <w:p w:rsidR="00837985" w:rsidRDefault="00837985" w:rsidP="004855C6">
            <w:pPr>
              <w:pStyle w:val="PlainText"/>
              <w:rPr>
                <w:rFonts w:asciiTheme="minorHAnsi" w:hAnsiTheme="minorHAnsi" w:cstheme="minorBidi"/>
                <w:lang w:eastAsia="en-NZ"/>
              </w:rPr>
            </w:pPr>
            <w:r>
              <w:rPr>
                <w:rFonts w:asciiTheme="minorHAnsi" w:hAnsiTheme="minorHAnsi" w:cstheme="minorBidi"/>
                <w:lang w:eastAsia="en-NZ"/>
              </w:rPr>
              <w:t>Spain</w:t>
            </w:r>
          </w:p>
        </w:tc>
        <w:tc>
          <w:tcPr>
            <w:tcW w:w="1720" w:type="dxa"/>
          </w:tcPr>
          <w:p w:rsidR="00837985" w:rsidRDefault="00837985" w:rsidP="004855C6">
            <w:pPr>
              <w:pStyle w:val="PlainText"/>
              <w:rPr>
                <w:rFonts w:asciiTheme="minorHAnsi" w:hAnsiTheme="minorHAnsi" w:cstheme="minorBidi"/>
                <w:lang w:eastAsia="en-NZ"/>
              </w:rPr>
            </w:pPr>
            <w:r>
              <w:rPr>
                <w:rFonts w:asciiTheme="minorHAnsi" w:hAnsiTheme="minorHAnsi" w:cstheme="minorBidi"/>
                <w:lang w:eastAsia="en-NZ"/>
              </w:rPr>
              <w:t>63%</w:t>
            </w:r>
          </w:p>
        </w:tc>
        <w:tc>
          <w:tcPr>
            <w:tcW w:w="1816" w:type="dxa"/>
          </w:tcPr>
          <w:p w:rsidR="00837985" w:rsidRDefault="00837985" w:rsidP="004855C6">
            <w:pPr>
              <w:pStyle w:val="PlainText"/>
              <w:rPr>
                <w:rFonts w:asciiTheme="minorHAnsi" w:hAnsiTheme="minorHAnsi" w:cstheme="minorBidi"/>
                <w:lang w:eastAsia="en-NZ"/>
              </w:rPr>
            </w:pPr>
            <w:r>
              <w:rPr>
                <w:rFonts w:asciiTheme="minorHAnsi" w:hAnsiTheme="minorHAnsi" w:cstheme="minorBidi"/>
                <w:lang w:eastAsia="en-NZ"/>
              </w:rPr>
              <w:t>46%</w:t>
            </w:r>
          </w:p>
        </w:tc>
      </w:tr>
      <w:tr w:rsidR="00837985" w:rsidTr="009567A2">
        <w:tc>
          <w:tcPr>
            <w:tcW w:w="1730" w:type="dxa"/>
          </w:tcPr>
          <w:p w:rsidR="00837985" w:rsidRDefault="00837985" w:rsidP="004855C6">
            <w:pPr>
              <w:pStyle w:val="PlainText"/>
              <w:rPr>
                <w:rFonts w:asciiTheme="minorHAnsi" w:hAnsiTheme="minorHAnsi" w:cstheme="minorBidi"/>
                <w:lang w:eastAsia="en-NZ"/>
              </w:rPr>
            </w:pPr>
            <w:r>
              <w:rPr>
                <w:rFonts w:asciiTheme="minorHAnsi" w:hAnsiTheme="minorHAnsi" w:cstheme="minorBidi"/>
                <w:lang w:eastAsia="en-NZ"/>
              </w:rPr>
              <w:t>Greece</w:t>
            </w:r>
          </w:p>
        </w:tc>
        <w:tc>
          <w:tcPr>
            <w:tcW w:w="1720" w:type="dxa"/>
          </w:tcPr>
          <w:p w:rsidR="00837985" w:rsidRDefault="00837985" w:rsidP="004855C6">
            <w:pPr>
              <w:pStyle w:val="PlainText"/>
              <w:rPr>
                <w:rFonts w:asciiTheme="minorHAnsi" w:hAnsiTheme="minorHAnsi" w:cstheme="minorBidi"/>
                <w:lang w:eastAsia="en-NZ"/>
              </w:rPr>
            </w:pPr>
            <w:r>
              <w:rPr>
                <w:rFonts w:asciiTheme="minorHAnsi" w:hAnsiTheme="minorHAnsi" w:cstheme="minorBidi"/>
                <w:lang w:eastAsia="en-NZ"/>
              </w:rPr>
              <w:t>144%</w:t>
            </w:r>
          </w:p>
        </w:tc>
        <w:tc>
          <w:tcPr>
            <w:tcW w:w="1816" w:type="dxa"/>
          </w:tcPr>
          <w:p w:rsidR="00837985" w:rsidRDefault="00837985" w:rsidP="004855C6">
            <w:pPr>
              <w:pStyle w:val="PlainText"/>
              <w:rPr>
                <w:rFonts w:asciiTheme="minorHAnsi" w:hAnsiTheme="minorHAnsi" w:cstheme="minorBidi"/>
                <w:lang w:eastAsia="en-NZ"/>
              </w:rPr>
            </w:pPr>
            <w:r>
              <w:rPr>
                <w:rFonts w:asciiTheme="minorHAnsi" w:hAnsiTheme="minorHAnsi" w:cstheme="minorBidi"/>
                <w:lang w:eastAsia="en-NZ"/>
              </w:rPr>
              <w:t>44%</w:t>
            </w:r>
          </w:p>
        </w:tc>
      </w:tr>
      <w:tr w:rsidR="00837985" w:rsidTr="009567A2">
        <w:tc>
          <w:tcPr>
            <w:tcW w:w="1730" w:type="dxa"/>
          </w:tcPr>
          <w:p w:rsidR="00837985" w:rsidRDefault="00837985" w:rsidP="004855C6">
            <w:pPr>
              <w:pStyle w:val="PlainText"/>
              <w:rPr>
                <w:rFonts w:asciiTheme="minorHAnsi" w:hAnsiTheme="minorHAnsi" w:cstheme="minorBidi"/>
                <w:lang w:eastAsia="en-NZ"/>
              </w:rPr>
            </w:pPr>
            <w:r>
              <w:rPr>
                <w:rFonts w:asciiTheme="minorHAnsi" w:hAnsiTheme="minorHAnsi" w:cstheme="minorBidi"/>
                <w:lang w:eastAsia="en-NZ"/>
              </w:rPr>
              <w:t>Portugal</w:t>
            </w:r>
          </w:p>
        </w:tc>
        <w:tc>
          <w:tcPr>
            <w:tcW w:w="1720" w:type="dxa"/>
          </w:tcPr>
          <w:p w:rsidR="00837985" w:rsidRDefault="00837985" w:rsidP="004855C6">
            <w:pPr>
              <w:pStyle w:val="PlainText"/>
              <w:rPr>
                <w:rFonts w:asciiTheme="minorHAnsi" w:hAnsiTheme="minorHAnsi" w:cstheme="minorBidi"/>
                <w:lang w:eastAsia="en-NZ"/>
              </w:rPr>
            </w:pPr>
            <w:r>
              <w:rPr>
                <w:rFonts w:asciiTheme="minorHAnsi" w:hAnsiTheme="minorHAnsi" w:cstheme="minorBidi"/>
                <w:lang w:eastAsia="en-NZ"/>
              </w:rPr>
              <w:t>84%</w:t>
            </w:r>
          </w:p>
        </w:tc>
        <w:tc>
          <w:tcPr>
            <w:tcW w:w="1816" w:type="dxa"/>
          </w:tcPr>
          <w:p w:rsidR="00837985" w:rsidRDefault="00837985" w:rsidP="004855C6">
            <w:pPr>
              <w:pStyle w:val="PlainText"/>
              <w:rPr>
                <w:rFonts w:asciiTheme="minorHAnsi" w:hAnsiTheme="minorHAnsi" w:cstheme="minorBidi"/>
                <w:lang w:eastAsia="en-NZ"/>
              </w:rPr>
            </w:pPr>
            <w:r>
              <w:rPr>
                <w:rFonts w:asciiTheme="minorHAnsi" w:hAnsiTheme="minorHAnsi" w:cstheme="minorBidi"/>
                <w:lang w:eastAsia="en-NZ"/>
              </w:rPr>
              <w:t>30%</w:t>
            </w:r>
          </w:p>
        </w:tc>
      </w:tr>
      <w:tr w:rsidR="00837985" w:rsidTr="009567A2">
        <w:tc>
          <w:tcPr>
            <w:tcW w:w="1730" w:type="dxa"/>
          </w:tcPr>
          <w:p w:rsidR="00837985" w:rsidRDefault="00837985" w:rsidP="004855C6">
            <w:pPr>
              <w:pStyle w:val="PlainText"/>
              <w:rPr>
                <w:rFonts w:asciiTheme="minorHAnsi" w:hAnsiTheme="minorHAnsi" w:cstheme="minorBidi"/>
                <w:lang w:eastAsia="en-NZ"/>
              </w:rPr>
            </w:pPr>
            <w:r>
              <w:rPr>
                <w:rFonts w:asciiTheme="minorHAnsi" w:hAnsiTheme="minorHAnsi" w:cstheme="minorBidi"/>
                <w:lang w:eastAsia="en-NZ"/>
              </w:rPr>
              <w:t>Ireland</w:t>
            </w:r>
          </w:p>
        </w:tc>
        <w:tc>
          <w:tcPr>
            <w:tcW w:w="1720" w:type="dxa"/>
          </w:tcPr>
          <w:p w:rsidR="00837985" w:rsidRDefault="00837985" w:rsidP="004855C6">
            <w:pPr>
              <w:pStyle w:val="PlainText"/>
              <w:rPr>
                <w:rFonts w:asciiTheme="minorHAnsi" w:hAnsiTheme="minorHAnsi" w:cstheme="minorBidi"/>
                <w:lang w:eastAsia="en-NZ"/>
              </w:rPr>
            </w:pPr>
            <w:r>
              <w:rPr>
                <w:rFonts w:asciiTheme="minorHAnsi" w:hAnsiTheme="minorHAnsi" w:cstheme="minorBidi"/>
                <w:lang w:eastAsia="en-NZ"/>
              </w:rPr>
              <w:t>94%</w:t>
            </w:r>
          </w:p>
        </w:tc>
        <w:tc>
          <w:tcPr>
            <w:tcW w:w="1816" w:type="dxa"/>
          </w:tcPr>
          <w:p w:rsidR="00837985" w:rsidRDefault="00837985" w:rsidP="004855C6">
            <w:pPr>
              <w:pStyle w:val="PlainText"/>
              <w:rPr>
                <w:rFonts w:asciiTheme="minorHAnsi" w:hAnsiTheme="minorHAnsi" w:cstheme="minorBidi"/>
                <w:lang w:eastAsia="en-NZ"/>
              </w:rPr>
            </w:pPr>
            <w:r>
              <w:rPr>
                <w:rFonts w:asciiTheme="minorHAnsi" w:hAnsiTheme="minorHAnsi" w:cstheme="minorBidi"/>
                <w:lang w:eastAsia="en-NZ"/>
              </w:rPr>
              <w:t>29%</w:t>
            </w:r>
          </w:p>
        </w:tc>
      </w:tr>
      <w:tr w:rsidR="00CD7718" w:rsidTr="009567A2">
        <w:tc>
          <w:tcPr>
            <w:tcW w:w="1730" w:type="dxa"/>
          </w:tcPr>
          <w:p w:rsidR="00CD7718" w:rsidRDefault="00CD7718" w:rsidP="004855C6">
            <w:pPr>
              <w:pStyle w:val="PlainText"/>
              <w:rPr>
                <w:rFonts w:asciiTheme="minorHAnsi" w:hAnsiTheme="minorHAnsi" w:cstheme="minorBidi"/>
                <w:lang w:eastAsia="en-NZ"/>
              </w:rPr>
            </w:pPr>
            <w:r>
              <w:rPr>
                <w:rFonts w:asciiTheme="minorHAnsi" w:hAnsiTheme="minorHAnsi" w:cstheme="minorBidi"/>
                <w:lang w:eastAsia="en-NZ"/>
              </w:rPr>
              <w:t>New Zealand</w:t>
            </w:r>
          </w:p>
        </w:tc>
        <w:tc>
          <w:tcPr>
            <w:tcW w:w="1720" w:type="dxa"/>
          </w:tcPr>
          <w:p w:rsidR="00CD7718" w:rsidRPr="008C412F" w:rsidRDefault="00CD7718" w:rsidP="004855C6">
            <w:pPr>
              <w:pStyle w:val="PlainText"/>
              <w:rPr>
                <w:rFonts w:asciiTheme="minorHAnsi" w:hAnsiTheme="minorHAnsi" w:cstheme="minorHAnsi"/>
                <w:b/>
                <w:lang w:eastAsia="en-NZ"/>
              </w:rPr>
            </w:pPr>
            <w:r w:rsidRPr="008C412F">
              <w:rPr>
                <w:rStyle w:val="Strong"/>
                <w:rFonts w:asciiTheme="minorHAnsi" w:hAnsiTheme="minorHAnsi" w:cstheme="minorHAnsi"/>
                <w:b w:val="0"/>
              </w:rPr>
              <w:t>23.7%</w:t>
            </w:r>
          </w:p>
        </w:tc>
        <w:tc>
          <w:tcPr>
            <w:tcW w:w="1816" w:type="dxa"/>
          </w:tcPr>
          <w:p w:rsidR="00CD7718" w:rsidRDefault="008C412F" w:rsidP="004855C6">
            <w:pPr>
              <w:pStyle w:val="PlainText"/>
              <w:rPr>
                <w:rFonts w:asciiTheme="minorHAnsi" w:hAnsiTheme="minorHAnsi" w:cstheme="minorBidi"/>
                <w:lang w:eastAsia="en-NZ"/>
              </w:rPr>
            </w:pPr>
            <w:r>
              <w:rPr>
                <w:rFonts w:asciiTheme="minorHAnsi" w:hAnsiTheme="minorHAnsi" w:cstheme="minorBidi"/>
                <w:lang w:eastAsia="en-NZ"/>
              </w:rPr>
              <w:t>15/19 yrs 10%</w:t>
            </w:r>
          </w:p>
          <w:p w:rsidR="008C412F" w:rsidRDefault="008C412F" w:rsidP="004855C6">
            <w:pPr>
              <w:pStyle w:val="PlainText"/>
              <w:rPr>
                <w:rFonts w:asciiTheme="minorHAnsi" w:hAnsiTheme="minorHAnsi" w:cstheme="minorBidi"/>
                <w:lang w:eastAsia="en-NZ"/>
              </w:rPr>
            </w:pPr>
            <w:r>
              <w:rPr>
                <w:rFonts w:asciiTheme="minorHAnsi" w:hAnsiTheme="minorHAnsi" w:cstheme="minorBidi"/>
                <w:lang w:eastAsia="en-NZ"/>
              </w:rPr>
              <w:t>20/24 yrs 16%</w:t>
            </w:r>
          </w:p>
        </w:tc>
      </w:tr>
    </w:tbl>
    <w:p w:rsidR="00AC2E15" w:rsidRDefault="00AC2E15" w:rsidP="004855C6">
      <w:pPr>
        <w:pStyle w:val="PlainText"/>
        <w:ind w:left="720" w:hanging="720"/>
        <w:rPr>
          <w:rFonts w:asciiTheme="minorHAnsi" w:hAnsiTheme="minorHAnsi" w:cstheme="minorBidi"/>
          <w:lang w:eastAsia="en-NZ"/>
        </w:rPr>
      </w:pPr>
    </w:p>
    <w:p w:rsidR="00837985" w:rsidRDefault="00837985" w:rsidP="004855C6">
      <w:pPr>
        <w:pStyle w:val="PlainText"/>
        <w:ind w:left="720" w:hanging="720"/>
        <w:rPr>
          <w:lang w:val="en-US"/>
        </w:rPr>
      </w:pPr>
    </w:p>
    <w:p w:rsidR="00837985" w:rsidRDefault="00837985" w:rsidP="00837985">
      <w:pPr>
        <w:pStyle w:val="PlainText"/>
        <w:ind w:left="720"/>
        <w:rPr>
          <w:rFonts w:asciiTheme="minorHAnsi" w:hAnsiTheme="minorHAnsi" w:cstheme="minorBidi"/>
          <w:lang w:eastAsia="en-NZ"/>
        </w:rPr>
      </w:pPr>
      <w:r>
        <w:rPr>
          <w:rFonts w:asciiTheme="minorHAnsi" w:hAnsiTheme="minorHAnsi" w:cstheme="minorBidi"/>
          <w:lang w:eastAsia="en-NZ"/>
        </w:rPr>
        <w:t>Clearly just using one data point, be it income inequality, GDP, child poverty</w:t>
      </w:r>
      <w:r w:rsidR="00AA60C6">
        <w:rPr>
          <w:rFonts w:asciiTheme="minorHAnsi" w:hAnsiTheme="minorHAnsi" w:cstheme="minorBidi"/>
          <w:lang w:eastAsia="en-NZ"/>
        </w:rPr>
        <w:t>, public/private debt</w:t>
      </w:r>
      <w:r>
        <w:rPr>
          <w:rFonts w:asciiTheme="minorHAnsi" w:hAnsiTheme="minorHAnsi" w:cstheme="minorBidi"/>
          <w:lang w:eastAsia="en-NZ"/>
        </w:rPr>
        <w:t xml:space="preserve"> etc to illustrate the value of different policy setting </w:t>
      </w:r>
      <w:r w:rsidR="009C111A">
        <w:rPr>
          <w:rFonts w:asciiTheme="minorHAnsi" w:hAnsiTheme="minorHAnsi" w:cstheme="minorBidi"/>
          <w:lang w:eastAsia="en-NZ"/>
        </w:rPr>
        <w:t xml:space="preserve">or wellbeing </w:t>
      </w:r>
      <w:r>
        <w:rPr>
          <w:rFonts w:asciiTheme="minorHAnsi" w:hAnsiTheme="minorHAnsi" w:cstheme="minorBidi"/>
          <w:lang w:eastAsia="en-NZ"/>
        </w:rPr>
        <w:t xml:space="preserve">can be very mis-leading especially over the long-run. </w:t>
      </w:r>
    </w:p>
    <w:p w:rsidR="00837985" w:rsidRDefault="00837985" w:rsidP="009567A2">
      <w:pPr>
        <w:pStyle w:val="PlainText"/>
        <w:rPr>
          <w:lang w:val="en-US"/>
        </w:rPr>
      </w:pPr>
    </w:p>
    <w:p w:rsidR="00BE2339" w:rsidRPr="00581B49" w:rsidRDefault="00BE2339" w:rsidP="004855C6">
      <w:pPr>
        <w:pStyle w:val="PlainText"/>
        <w:ind w:left="720" w:hanging="720"/>
        <w:rPr>
          <w:u w:val="single"/>
          <w:lang w:val="en-US"/>
        </w:rPr>
      </w:pPr>
      <w:r>
        <w:rPr>
          <w:lang w:val="en-US"/>
        </w:rPr>
        <w:tab/>
      </w:r>
      <w:r w:rsidRPr="00581B49">
        <w:rPr>
          <w:u w:val="single"/>
          <w:lang w:val="en-US"/>
        </w:rPr>
        <w:t xml:space="preserve">Income, </w:t>
      </w:r>
      <w:r w:rsidR="00581B49" w:rsidRPr="00581B49">
        <w:rPr>
          <w:u w:val="single"/>
          <w:lang w:val="en-US"/>
        </w:rPr>
        <w:t>Behavio</w:t>
      </w:r>
      <w:r w:rsidR="00581B49">
        <w:rPr>
          <w:u w:val="single"/>
          <w:lang w:val="en-US"/>
        </w:rPr>
        <w:t>r</w:t>
      </w:r>
      <w:r w:rsidRPr="00581B49">
        <w:rPr>
          <w:u w:val="single"/>
          <w:lang w:val="en-US"/>
        </w:rPr>
        <w:t xml:space="preserve"> and Incentives</w:t>
      </w:r>
    </w:p>
    <w:p w:rsidR="00BE2339" w:rsidRDefault="00BE2339" w:rsidP="004855C6">
      <w:pPr>
        <w:pStyle w:val="PlainText"/>
        <w:ind w:left="720" w:hanging="720"/>
        <w:rPr>
          <w:lang w:val="en-US"/>
        </w:rPr>
      </w:pPr>
    </w:p>
    <w:p w:rsidR="004D30B5" w:rsidRDefault="00490511" w:rsidP="004855C6">
      <w:pPr>
        <w:pStyle w:val="PlainText"/>
        <w:ind w:left="720" w:hanging="720"/>
        <w:rPr>
          <w:lang w:val="en-US"/>
        </w:rPr>
      </w:pPr>
      <w:r>
        <w:rPr>
          <w:lang w:val="en-US"/>
        </w:rPr>
        <w:t>34</w:t>
      </w:r>
      <w:r w:rsidR="00AC2E15">
        <w:rPr>
          <w:lang w:val="en-US"/>
        </w:rPr>
        <w:tab/>
      </w:r>
      <w:r w:rsidR="00762A03">
        <w:rPr>
          <w:lang w:val="en-US"/>
        </w:rPr>
        <w:t xml:space="preserve">The issue of higher income via </w:t>
      </w:r>
      <w:r w:rsidR="00E5267A">
        <w:rPr>
          <w:lang w:val="en-US"/>
        </w:rPr>
        <w:t xml:space="preserve">higher </w:t>
      </w:r>
      <w:r w:rsidR="00762A03">
        <w:rPr>
          <w:lang w:val="en-US"/>
        </w:rPr>
        <w:t xml:space="preserve">transfers </w:t>
      </w:r>
      <w:r w:rsidR="00E5267A">
        <w:rPr>
          <w:lang w:val="en-US"/>
        </w:rPr>
        <w:t xml:space="preserve">to people on benefits </w:t>
      </w:r>
      <w:r w:rsidR="00762A03">
        <w:rPr>
          <w:lang w:val="en-US"/>
        </w:rPr>
        <w:t>is</w:t>
      </w:r>
      <w:r w:rsidR="00E5267A">
        <w:rPr>
          <w:lang w:val="en-US"/>
        </w:rPr>
        <w:t> a</w:t>
      </w:r>
      <w:r w:rsidR="00762A03">
        <w:rPr>
          <w:lang w:val="en-US"/>
        </w:rPr>
        <w:t xml:space="preserve"> balance between payment adequacy, fiscal affordability and the incentives for self-support. The bulk of the evidence suggests that higher unemployment benefits have the effect of decreasing transitions from income support into work. This effect is not as large as some have claimed and there are theoretical reasons where you might think it could go the other way e.g. if someone is having difficulty affordi</w:t>
      </w:r>
      <w:r w:rsidR="00E5267A">
        <w:rPr>
          <w:lang w:val="en-US"/>
        </w:rPr>
        <w:t>ng the costs of work clothes</w:t>
      </w:r>
      <w:r w:rsidR="003518C0">
        <w:rPr>
          <w:lang w:val="en-US"/>
        </w:rPr>
        <w:t xml:space="preserve"> etc</w:t>
      </w:r>
      <w:r w:rsidR="00762A03">
        <w:rPr>
          <w:lang w:val="en-US"/>
        </w:rPr>
        <w:t xml:space="preserve">. </w:t>
      </w:r>
    </w:p>
    <w:p w:rsidR="004D30B5" w:rsidRDefault="004D30B5" w:rsidP="004855C6">
      <w:pPr>
        <w:pStyle w:val="PlainText"/>
        <w:ind w:left="720" w:hanging="720"/>
        <w:rPr>
          <w:lang w:val="en-US"/>
        </w:rPr>
      </w:pPr>
    </w:p>
    <w:p w:rsidR="00AE5B5E" w:rsidRDefault="00490511" w:rsidP="008F7E58">
      <w:pPr>
        <w:pStyle w:val="NoSpacing"/>
        <w:ind w:left="720" w:hanging="720"/>
        <w:rPr>
          <w:rFonts w:cstheme="minorHAnsi"/>
          <w:b/>
          <w:lang w:val="en-US"/>
        </w:rPr>
      </w:pPr>
      <w:r w:rsidRPr="00AD06E0">
        <w:rPr>
          <w:rFonts w:cstheme="minorHAnsi"/>
          <w:lang w:val="en-US"/>
        </w:rPr>
        <w:t>35</w:t>
      </w:r>
      <w:r w:rsidR="004D30B5" w:rsidRPr="00AD06E0">
        <w:rPr>
          <w:rFonts w:cstheme="minorHAnsi"/>
          <w:lang w:val="en-US"/>
        </w:rPr>
        <w:tab/>
      </w:r>
      <w:r w:rsidR="00762A03" w:rsidRPr="008F7E58">
        <w:t xml:space="preserve">But the </w:t>
      </w:r>
      <w:r w:rsidR="00C86FF4" w:rsidRPr="008F7E58">
        <w:t xml:space="preserve">majority </w:t>
      </w:r>
      <w:r w:rsidR="00762A03" w:rsidRPr="008F7E58">
        <w:t>of evidence, work such as</w:t>
      </w:r>
      <w:r w:rsidR="00AD06E0" w:rsidRPr="008F7E58">
        <w:t xml:space="preserve"> “</w:t>
      </w:r>
      <w:r w:rsidR="00AD06E0" w:rsidRPr="00365B54">
        <w:rPr>
          <w:i/>
        </w:rPr>
        <w:t>Unemployment Compensation and Labor Market Transitions: A Critical Review</w:t>
      </w:r>
      <w:r w:rsidR="00AD06E0" w:rsidRPr="008F7E58">
        <w:t xml:space="preserve">”, Anthony B. Atkinson and John Micklewright, Journal of Economic Literature, 1991, </w:t>
      </w:r>
      <w:r w:rsidR="0011256D" w:rsidRPr="008F7E58">
        <w:t>“</w:t>
      </w:r>
      <w:r w:rsidR="0011256D" w:rsidRPr="00365B54">
        <w:rPr>
          <w:i/>
        </w:rPr>
        <w:t>Do Unemployment Benefits Increase Unemployment? New Evidence on an Old Question</w:t>
      </w:r>
      <w:r w:rsidR="0011256D" w:rsidRPr="008F7E58">
        <w:t>”, Peter Fredriksson, Martin Söderström, Institute for the Study of Labor</w:t>
      </w:r>
      <w:r w:rsidR="00AD06E0" w:rsidRPr="008F7E58">
        <w:t xml:space="preserve">, 2008 </w:t>
      </w:r>
      <w:r w:rsidR="0011256D" w:rsidRPr="008F7E58">
        <w:t>and “</w:t>
      </w:r>
      <w:r w:rsidR="0011256D" w:rsidRPr="00365B54">
        <w:rPr>
          <w:i/>
        </w:rPr>
        <w:t>Dimensions of Tax Design</w:t>
      </w:r>
      <w:r w:rsidR="0011256D" w:rsidRPr="008F7E58">
        <w:t>”, The Mirrlees Review, Sir James Mirrlees, Institute for Fiscal Studies, Oxford University Press, 2010</w:t>
      </w:r>
      <w:r w:rsidR="00E5267A" w:rsidRPr="008F7E58">
        <w:t xml:space="preserve">, support </w:t>
      </w:r>
      <w:r w:rsidR="00762A03" w:rsidRPr="008F7E58">
        <w:t>this</w:t>
      </w:r>
      <w:r w:rsidR="00732AEB" w:rsidRPr="008F7E58">
        <w:t xml:space="preserve"> position</w:t>
      </w:r>
      <w:r w:rsidR="007A66BB" w:rsidRPr="008F7E58">
        <w:t>.</w:t>
      </w:r>
      <w:r w:rsidR="007A66BB" w:rsidRPr="00AD06E0">
        <w:rPr>
          <w:rFonts w:cstheme="minorHAnsi"/>
          <w:lang w:val="en-US"/>
        </w:rPr>
        <w:t xml:space="preserve"> </w:t>
      </w:r>
    </w:p>
    <w:p w:rsidR="00BE15A6" w:rsidRDefault="00BE15A6" w:rsidP="00BE15A6">
      <w:pPr>
        <w:autoSpaceDE w:val="0"/>
        <w:autoSpaceDN w:val="0"/>
        <w:adjustRightInd w:val="0"/>
        <w:spacing w:after="0" w:line="240" w:lineRule="auto"/>
        <w:rPr>
          <w:lang w:val="en-US"/>
        </w:rPr>
      </w:pPr>
    </w:p>
    <w:p w:rsidR="00AE5B5E" w:rsidRPr="00FD73FC" w:rsidRDefault="00AE5B5E" w:rsidP="00BE15A6">
      <w:pPr>
        <w:autoSpaceDE w:val="0"/>
        <w:autoSpaceDN w:val="0"/>
        <w:adjustRightInd w:val="0"/>
        <w:spacing w:after="0" w:line="240" w:lineRule="auto"/>
        <w:ind w:left="720" w:hanging="720"/>
        <w:rPr>
          <w:rFonts w:cstheme="minorHAnsi"/>
        </w:rPr>
      </w:pPr>
      <w:r w:rsidRPr="00AE5B5E">
        <w:rPr>
          <w:rFonts w:cstheme="minorHAnsi"/>
          <w:lang w:val="en-US"/>
        </w:rPr>
        <w:t>36</w:t>
      </w:r>
      <w:r>
        <w:rPr>
          <w:rFonts w:cstheme="minorHAnsi"/>
          <w:b/>
          <w:lang w:val="en-US"/>
        </w:rPr>
        <w:tab/>
      </w:r>
      <w:r w:rsidR="007A66BB" w:rsidRPr="00AD06E0">
        <w:rPr>
          <w:rFonts w:cstheme="minorHAnsi"/>
          <w:lang w:val="en-US"/>
        </w:rPr>
        <w:t>However o</w:t>
      </w:r>
      <w:r w:rsidR="00762A03" w:rsidRPr="00AD06E0">
        <w:rPr>
          <w:rFonts w:cstheme="minorHAnsi"/>
          <w:lang w:val="en-US"/>
        </w:rPr>
        <w:t xml:space="preserve">ther transfers i.e. </w:t>
      </w:r>
      <w:r w:rsidR="004B6659" w:rsidRPr="00AD06E0">
        <w:rPr>
          <w:rFonts w:cstheme="minorHAnsi"/>
          <w:lang w:val="en-US"/>
        </w:rPr>
        <w:t xml:space="preserve"> </w:t>
      </w:r>
      <w:r w:rsidR="00762A03" w:rsidRPr="00AD06E0">
        <w:rPr>
          <w:rFonts w:cstheme="minorHAnsi"/>
          <w:lang w:val="en-US"/>
        </w:rPr>
        <w:t xml:space="preserve">effective marginal tax rate reductions </w:t>
      </w:r>
      <w:r w:rsidR="00E5267A" w:rsidRPr="00AD06E0">
        <w:rPr>
          <w:rFonts w:cstheme="minorHAnsi"/>
          <w:lang w:val="en-US"/>
        </w:rPr>
        <w:t xml:space="preserve">have greater support in the literature, as they </w:t>
      </w:r>
      <w:r w:rsidR="00762A03" w:rsidRPr="00AD06E0">
        <w:rPr>
          <w:rFonts w:cstheme="minorHAnsi"/>
          <w:lang w:val="en-US"/>
        </w:rPr>
        <w:t xml:space="preserve">introduce positive real income increases while </w:t>
      </w:r>
      <w:r w:rsidR="00762A03" w:rsidRPr="00AD06E0">
        <w:rPr>
          <w:rFonts w:cstheme="minorHAnsi"/>
          <w:u w:val="single"/>
          <w:lang w:val="en-US"/>
        </w:rPr>
        <w:t>also</w:t>
      </w:r>
      <w:r w:rsidR="00762A03" w:rsidRPr="00AD06E0">
        <w:rPr>
          <w:rFonts w:cstheme="minorHAnsi"/>
          <w:lang w:val="en-US"/>
        </w:rPr>
        <w:t xml:space="preserve"> improving the incentives to search for work, if</w:t>
      </w:r>
      <w:r w:rsidR="007A66BB" w:rsidRPr="00AD06E0">
        <w:rPr>
          <w:rFonts w:cstheme="minorHAnsi"/>
          <w:lang w:val="en-US"/>
        </w:rPr>
        <w:t xml:space="preserve"> </w:t>
      </w:r>
      <w:r w:rsidR="00762A03" w:rsidRPr="00AD06E0">
        <w:rPr>
          <w:rFonts w:cstheme="minorHAnsi"/>
        </w:rPr>
        <w:t>people response to rational fiscal incentives, there are jobs available and they have the skills/experience required for those jobs</w:t>
      </w:r>
      <w:r w:rsidR="00762A03" w:rsidRPr="00AD06E0">
        <w:rPr>
          <w:rFonts w:cstheme="minorHAnsi"/>
          <w:lang w:val="en-US"/>
        </w:rPr>
        <w:t>.</w:t>
      </w:r>
      <w:r w:rsidR="00762A03" w:rsidRPr="00AD06E0">
        <w:rPr>
          <w:lang w:val="en-US"/>
        </w:rPr>
        <w:t xml:space="preserve"> </w:t>
      </w:r>
    </w:p>
    <w:p w:rsidR="00781736" w:rsidRDefault="00781736" w:rsidP="00AE5B5E">
      <w:pPr>
        <w:pStyle w:val="PlainText"/>
        <w:rPr>
          <w:lang w:val="en-US"/>
        </w:rPr>
      </w:pPr>
    </w:p>
    <w:p w:rsidR="00762A03" w:rsidRDefault="00EA3F22" w:rsidP="00781736">
      <w:pPr>
        <w:pStyle w:val="PlainText"/>
        <w:ind w:left="720" w:hanging="720"/>
        <w:rPr>
          <w:rFonts w:cstheme="minorHAnsi"/>
        </w:rPr>
      </w:pPr>
      <w:r>
        <w:rPr>
          <w:lang w:val="en-US"/>
        </w:rPr>
        <w:t>37</w:t>
      </w:r>
      <w:r w:rsidR="00781736">
        <w:rPr>
          <w:lang w:val="en-US"/>
        </w:rPr>
        <w:tab/>
      </w:r>
      <w:r w:rsidR="00762A03">
        <w:rPr>
          <w:lang w:val="en"/>
        </w:rPr>
        <w:t xml:space="preserve">Perhaps the other key factor which impact on </w:t>
      </w:r>
      <w:r w:rsidR="00781736">
        <w:rPr>
          <w:lang w:val="en"/>
        </w:rPr>
        <w:t xml:space="preserve">child </w:t>
      </w:r>
      <w:r w:rsidR="00762A03">
        <w:rPr>
          <w:lang w:val="en"/>
        </w:rPr>
        <w:t>poverty that is not discussed in any detail is changes in family structure</w:t>
      </w:r>
      <w:r w:rsidR="00781736">
        <w:rPr>
          <w:lang w:val="en"/>
        </w:rPr>
        <w:t xml:space="preserve"> over the last 30 years</w:t>
      </w:r>
      <w:r w:rsidR="00762A03">
        <w:rPr>
          <w:lang w:val="en"/>
        </w:rPr>
        <w:t xml:space="preserve">. </w:t>
      </w:r>
      <w:r w:rsidR="00762A03">
        <w:rPr>
          <w:lang w:val="en-US"/>
        </w:rPr>
        <w:t>Family structure does affect income i.e. there are inherent economic disadvantages to being divorced with children or unmarried with children. Raising a child without a spouse i</w:t>
      </w:r>
      <w:r w:rsidR="009C3996">
        <w:rPr>
          <w:lang w:val="en-US"/>
        </w:rPr>
        <w:t>s very challenging. There are fewer</w:t>
      </w:r>
      <w:r w:rsidR="00762A03">
        <w:rPr>
          <w:lang w:val="en-US"/>
        </w:rPr>
        <w:t xml:space="preserve"> economies of scale and the single parent may have to take lower-paying jobs that are sufficiently flexible to allow for parenting while single. In both of these cases changes in family structure lead to lower incomes, but it is the social factors and decisions that are driving the reduction in income/support </w:t>
      </w:r>
      <w:r w:rsidR="00781736">
        <w:rPr>
          <w:lang w:val="en-US"/>
        </w:rPr>
        <w:t xml:space="preserve">not </w:t>
      </w:r>
      <w:r w:rsidR="00762A03">
        <w:rPr>
          <w:lang w:val="en-US"/>
        </w:rPr>
        <w:t>differential retur</w:t>
      </w:r>
      <w:r w:rsidR="00781736">
        <w:rPr>
          <w:lang w:val="en-US"/>
        </w:rPr>
        <w:t>ns to low and high skills in the</w:t>
      </w:r>
      <w:r w:rsidR="00BF0954">
        <w:rPr>
          <w:lang w:val="en-US"/>
        </w:rPr>
        <w:t xml:space="preserve"> labour market</w:t>
      </w:r>
      <w:r w:rsidR="00762A03">
        <w:rPr>
          <w:lang w:val="en-US"/>
        </w:rPr>
        <w:t xml:space="preserve">. </w:t>
      </w:r>
      <w:r w:rsidR="00BF0954">
        <w:rPr>
          <w:lang w:val="en-US"/>
        </w:rPr>
        <w:t xml:space="preserve">Our </w:t>
      </w:r>
      <w:r w:rsidR="00762A03">
        <w:rPr>
          <w:lang w:val="en-US"/>
        </w:rPr>
        <w:t>number of teenage</w:t>
      </w:r>
      <w:r w:rsidR="00781736">
        <w:rPr>
          <w:lang w:val="en-US"/>
        </w:rPr>
        <w:t xml:space="preserve"> pregnancies and sole parents is very high and such individuals have </w:t>
      </w:r>
      <w:r w:rsidR="00781736">
        <w:t xml:space="preserve">the highest </w:t>
      </w:r>
      <w:r w:rsidR="00781736" w:rsidRPr="00BE0125">
        <w:rPr>
          <w:rFonts w:cstheme="minorHAnsi"/>
        </w:rPr>
        <w:t xml:space="preserve">prevalence of deprivation </w:t>
      </w:r>
      <w:r w:rsidR="00781736">
        <w:rPr>
          <w:rFonts w:cstheme="minorHAnsi"/>
        </w:rPr>
        <w:t xml:space="preserve">and less mobility of all </w:t>
      </w:r>
      <w:r w:rsidR="0060579A">
        <w:rPr>
          <w:rFonts w:cstheme="minorHAnsi"/>
        </w:rPr>
        <w:t xml:space="preserve">population </w:t>
      </w:r>
      <w:r w:rsidR="00781736">
        <w:rPr>
          <w:rFonts w:cstheme="minorHAnsi"/>
        </w:rPr>
        <w:t>groups. We</w:t>
      </w:r>
      <w:r w:rsidR="0060579A">
        <w:rPr>
          <w:rFonts w:cstheme="minorHAnsi"/>
        </w:rPr>
        <w:t xml:space="preserve"> will return to this issue shortly</w:t>
      </w:r>
      <w:r w:rsidR="00781736">
        <w:rPr>
          <w:rFonts w:cstheme="minorHAnsi"/>
        </w:rPr>
        <w:t xml:space="preserve">. </w:t>
      </w:r>
    </w:p>
    <w:p w:rsidR="00781736" w:rsidRPr="00781736" w:rsidRDefault="00781736" w:rsidP="00781736">
      <w:pPr>
        <w:pStyle w:val="PlainText"/>
        <w:ind w:left="720" w:hanging="720"/>
        <w:rPr>
          <w:lang w:val="en-US"/>
        </w:rPr>
      </w:pPr>
    </w:p>
    <w:p w:rsidR="00AD2DCB" w:rsidRPr="009C3996" w:rsidRDefault="00EA3F22" w:rsidP="009C3996">
      <w:pPr>
        <w:ind w:left="720" w:hanging="720"/>
        <w:rPr>
          <w:lang w:val="en"/>
        </w:rPr>
      </w:pPr>
      <w:r>
        <w:rPr>
          <w:lang w:val="en"/>
        </w:rPr>
        <w:t>38</w:t>
      </w:r>
      <w:r w:rsidR="00781736">
        <w:rPr>
          <w:lang w:val="en"/>
        </w:rPr>
        <w:tab/>
      </w:r>
      <w:r w:rsidR="00781736">
        <w:rPr>
          <w:lang w:eastAsia="en-NZ"/>
        </w:rPr>
        <w:t xml:space="preserve">While we </w:t>
      </w:r>
      <w:r w:rsidR="00C86FF4">
        <w:rPr>
          <w:lang w:eastAsia="en-NZ"/>
        </w:rPr>
        <w:t xml:space="preserve">believe </w:t>
      </w:r>
      <w:r w:rsidR="00781736">
        <w:rPr>
          <w:lang w:eastAsia="en-NZ"/>
        </w:rPr>
        <w:t xml:space="preserve">some families do not have adequate income to allow their children equality of opportunity, just increasing the income alone </w:t>
      </w:r>
      <w:r w:rsidR="00C86FF4">
        <w:rPr>
          <w:lang w:eastAsia="en-NZ"/>
        </w:rPr>
        <w:t xml:space="preserve">may not </w:t>
      </w:r>
      <w:r w:rsidR="00AD2DCB">
        <w:rPr>
          <w:lang w:eastAsia="en-NZ"/>
        </w:rPr>
        <w:t>addr</w:t>
      </w:r>
      <w:r w:rsidR="00C86FF4">
        <w:rPr>
          <w:lang w:eastAsia="en-NZ"/>
        </w:rPr>
        <w:t xml:space="preserve">ess embedded </w:t>
      </w:r>
      <w:r w:rsidR="00C86FF4">
        <w:rPr>
          <w:lang w:eastAsia="en-NZ"/>
        </w:rPr>
        <w:lastRenderedPageBreak/>
        <w:t xml:space="preserve">behavioural, competency limitations </w:t>
      </w:r>
      <w:r w:rsidR="00AD2DCB">
        <w:rPr>
          <w:lang w:eastAsia="en-NZ"/>
        </w:rPr>
        <w:t xml:space="preserve">or other </w:t>
      </w:r>
      <w:r w:rsidR="00781736">
        <w:rPr>
          <w:lang w:eastAsia="en-NZ"/>
        </w:rPr>
        <w:t>problems e.g.  budgeting</w:t>
      </w:r>
      <w:r w:rsidR="00C86FF4">
        <w:rPr>
          <w:lang w:eastAsia="en-NZ"/>
        </w:rPr>
        <w:t xml:space="preserve"> issues</w:t>
      </w:r>
      <w:r w:rsidR="00781736">
        <w:rPr>
          <w:lang w:eastAsia="en-NZ"/>
        </w:rPr>
        <w:t xml:space="preserve">, </w:t>
      </w:r>
      <w:r w:rsidR="00C86FF4">
        <w:rPr>
          <w:lang w:eastAsia="en-NZ"/>
        </w:rPr>
        <w:t xml:space="preserve">drug </w:t>
      </w:r>
      <w:r w:rsidR="00781736">
        <w:rPr>
          <w:lang w:eastAsia="en-NZ"/>
        </w:rPr>
        <w:t>add</w:t>
      </w:r>
      <w:r w:rsidR="00AD2DCB">
        <w:rPr>
          <w:lang w:eastAsia="en-NZ"/>
        </w:rPr>
        <w:t xml:space="preserve">iction, poor parenting, </w:t>
      </w:r>
      <w:r w:rsidR="00C86FF4">
        <w:rPr>
          <w:lang w:eastAsia="en-NZ"/>
        </w:rPr>
        <w:t>alcohol use, health</w:t>
      </w:r>
      <w:r w:rsidR="00781736">
        <w:rPr>
          <w:lang w:eastAsia="en-NZ"/>
        </w:rPr>
        <w:t xml:space="preserve"> or skills/experience barriers to gaining employment or higher wages. </w:t>
      </w:r>
    </w:p>
    <w:p w:rsidR="00C86FF4" w:rsidRDefault="00EA3F22" w:rsidP="0081710F">
      <w:pPr>
        <w:ind w:left="720" w:hanging="720"/>
      </w:pPr>
      <w:r>
        <w:rPr>
          <w:lang w:val="en-US"/>
        </w:rPr>
        <w:t>39</w:t>
      </w:r>
      <w:r w:rsidR="00AD2DCB">
        <w:rPr>
          <w:lang w:val="en-US"/>
        </w:rPr>
        <w:tab/>
      </w:r>
      <w:r w:rsidR="00C86FF4">
        <w:t>Current Government interventions and funding (</w:t>
      </w:r>
      <w:r w:rsidR="0081710F">
        <w:t>both universal and</w:t>
      </w:r>
      <w:r w:rsidR="00C86FF4">
        <w:t xml:space="preserve"> targeted</w:t>
      </w:r>
      <w:r w:rsidR="0081710F">
        <w:t>) address income, information and behaviou</w:t>
      </w:r>
      <w:r w:rsidR="007B031E">
        <w:t xml:space="preserve">ral issues for at risk children </w:t>
      </w:r>
      <w:r w:rsidR="0081710F">
        <w:t>and families</w:t>
      </w:r>
      <w:r w:rsidR="007B031E">
        <w:t>:</w:t>
      </w:r>
      <w:r w:rsidR="00C86FF4">
        <w:t> </w:t>
      </w:r>
    </w:p>
    <w:p w:rsidR="00B20691" w:rsidRPr="00B20691" w:rsidRDefault="00BF0954" w:rsidP="0081710F">
      <w:pPr>
        <w:pStyle w:val="ListParagraph"/>
        <w:ind w:left="1080" w:hanging="360"/>
        <w:rPr>
          <w:rFonts w:asciiTheme="minorHAnsi" w:hAnsiTheme="minorHAnsi" w:cstheme="minorHAnsi"/>
        </w:rPr>
      </w:pPr>
      <w:r w:rsidRPr="00B20691">
        <w:rPr>
          <w:rFonts w:asciiTheme="minorHAnsi" w:hAnsiTheme="minorHAnsi" w:cstheme="minorHAnsi"/>
        </w:rPr>
        <w:t>(a</w:t>
      </w:r>
      <w:r w:rsidR="00C86FF4" w:rsidRPr="00B20691">
        <w:rPr>
          <w:rFonts w:asciiTheme="minorHAnsi" w:hAnsiTheme="minorHAnsi" w:cstheme="minorHAnsi"/>
        </w:rPr>
        <w:t>)</w:t>
      </w:r>
      <w:r w:rsidR="00B20691">
        <w:rPr>
          <w:rFonts w:asciiTheme="minorHAnsi" w:hAnsiTheme="minorHAnsi" w:cstheme="minorHAnsi"/>
        </w:rPr>
        <w:t> </w:t>
      </w:r>
      <w:r w:rsidR="00B20691" w:rsidRPr="00B20691">
        <w:rPr>
          <w:rFonts w:asciiTheme="minorHAnsi" w:hAnsiTheme="minorHAnsi" w:cstheme="minorHAnsi"/>
        </w:rPr>
        <w:t>Family planning;</w:t>
      </w:r>
    </w:p>
    <w:p w:rsidR="00C86FF4" w:rsidRPr="00B20691" w:rsidRDefault="00B20691" w:rsidP="009E276D">
      <w:pPr>
        <w:spacing w:after="0" w:line="240" w:lineRule="auto"/>
        <w:ind w:firstLine="720"/>
        <w:outlineLvl w:val="3"/>
        <w:rPr>
          <w:rFonts w:cstheme="minorHAnsi"/>
        </w:rPr>
      </w:pPr>
      <w:r w:rsidRPr="00B20691">
        <w:rPr>
          <w:rFonts w:cstheme="minorHAnsi"/>
        </w:rPr>
        <w:t xml:space="preserve">(b) </w:t>
      </w:r>
      <w:r w:rsidR="0081710F" w:rsidRPr="00B20691">
        <w:rPr>
          <w:rFonts w:cstheme="minorHAnsi"/>
        </w:rPr>
        <w:t>A</w:t>
      </w:r>
      <w:r w:rsidR="009E276D">
        <w:rPr>
          <w:rFonts w:cstheme="minorHAnsi"/>
        </w:rPr>
        <w:t xml:space="preserve">ntenatal </w:t>
      </w:r>
      <w:r w:rsidR="00C86FF4" w:rsidRPr="00B20691">
        <w:rPr>
          <w:rFonts w:cstheme="minorHAnsi"/>
        </w:rPr>
        <w:t>classes;</w:t>
      </w:r>
      <w:r w:rsidR="009E276D">
        <w:rPr>
          <w:rFonts w:cstheme="minorHAnsi"/>
        </w:rPr>
        <w:t xml:space="preserve"> </w:t>
      </w:r>
    </w:p>
    <w:p w:rsidR="00C86FF4" w:rsidRPr="00B20691" w:rsidRDefault="00B20691" w:rsidP="0081710F">
      <w:pPr>
        <w:pStyle w:val="ListParagraph"/>
        <w:ind w:left="1080" w:hanging="360"/>
        <w:rPr>
          <w:rFonts w:asciiTheme="minorHAnsi" w:hAnsiTheme="minorHAnsi" w:cstheme="minorHAnsi"/>
        </w:rPr>
      </w:pPr>
      <w:r>
        <w:rPr>
          <w:rFonts w:asciiTheme="minorHAnsi" w:hAnsiTheme="minorHAnsi" w:cstheme="minorHAnsi"/>
        </w:rPr>
        <w:t>(c</w:t>
      </w:r>
      <w:r w:rsidR="00C86FF4" w:rsidRPr="00B20691">
        <w:rPr>
          <w:rFonts w:asciiTheme="minorHAnsi" w:hAnsiTheme="minorHAnsi" w:cstheme="minorHAnsi"/>
        </w:rPr>
        <w:t>)</w:t>
      </w:r>
      <w:r w:rsidR="00BB5929">
        <w:rPr>
          <w:rFonts w:asciiTheme="minorHAnsi" w:hAnsiTheme="minorHAnsi" w:cstheme="minorHAnsi"/>
        </w:rPr>
        <w:t> </w:t>
      </w:r>
      <w:r w:rsidR="00472C9D" w:rsidRPr="00B20691">
        <w:rPr>
          <w:rFonts w:asciiTheme="minorHAnsi" w:hAnsiTheme="minorHAnsi" w:cstheme="minorHAnsi"/>
        </w:rPr>
        <w:t> </w:t>
      </w:r>
      <w:r w:rsidR="0081710F" w:rsidRPr="00B20691">
        <w:rPr>
          <w:rFonts w:asciiTheme="minorHAnsi" w:hAnsiTheme="minorHAnsi" w:cstheme="minorHAnsi"/>
        </w:rPr>
        <w:t>P</w:t>
      </w:r>
      <w:r w:rsidR="00C86FF4" w:rsidRPr="00B20691">
        <w:rPr>
          <w:rFonts w:asciiTheme="minorHAnsi" w:hAnsiTheme="minorHAnsi" w:cstheme="minorHAnsi"/>
        </w:rPr>
        <w:t>re-birth and post-birth care;</w:t>
      </w:r>
    </w:p>
    <w:p w:rsidR="00C86FF4" w:rsidRPr="00B20691" w:rsidRDefault="00B20691" w:rsidP="0081710F">
      <w:pPr>
        <w:pStyle w:val="ListParagraph"/>
        <w:ind w:left="1080" w:hanging="360"/>
        <w:rPr>
          <w:rFonts w:asciiTheme="minorHAnsi" w:hAnsiTheme="minorHAnsi" w:cstheme="minorHAnsi"/>
        </w:rPr>
      </w:pPr>
      <w:r>
        <w:rPr>
          <w:rFonts w:asciiTheme="minorHAnsi" w:hAnsiTheme="minorHAnsi" w:cstheme="minorHAnsi"/>
        </w:rPr>
        <w:t>(d</w:t>
      </w:r>
      <w:r w:rsidR="00C86FF4" w:rsidRPr="00B20691">
        <w:rPr>
          <w:rFonts w:asciiTheme="minorHAnsi" w:hAnsiTheme="minorHAnsi" w:cstheme="minorHAnsi"/>
        </w:rPr>
        <w:t>)</w:t>
      </w:r>
      <w:r w:rsidR="00BB5929">
        <w:rPr>
          <w:rFonts w:asciiTheme="minorHAnsi" w:hAnsiTheme="minorHAnsi" w:cstheme="minorHAnsi"/>
        </w:rPr>
        <w:t xml:space="preserve">  </w:t>
      </w:r>
      <w:r w:rsidR="0081710F" w:rsidRPr="00B20691">
        <w:rPr>
          <w:rFonts w:asciiTheme="minorHAnsi" w:hAnsiTheme="minorHAnsi" w:cstheme="minorHAnsi"/>
        </w:rPr>
        <w:t>Well C</w:t>
      </w:r>
      <w:r w:rsidR="00C86FF4" w:rsidRPr="00B20691">
        <w:rPr>
          <w:rFonts w:asciiTheme="minorHAnsi" w:hAnsiTheme="minorHAnsi" w:cstheme="minorHAnsi"/>
        </w:rPr>
        <w:t>hild</w:t>
      </w:r>
      <w:r w:rsidR="006447E6" w:rsidRPr="00B20691">
        <w:rPr>
          <w:rFonts w:asciiTheme="minorHAnsi" w:hAnsiTheme="minorHAnsi" w:cstheme="minorHAnsi"/>
        </w:rPr>
        <w:t>/Tamariki Ora</w:t>
      </w:r>
      <w:r w:rsidR="00C86FF4" w:rsidRPr="00B20691">
        <w:rPr>
          <w:rFonts w:asciiTheme="minorHAnsi" w:hAnsiTheme="minorHAnsi" w:cstheme="minorHAnsi"/>
        </w:rPr>
        <w:t>;</w:t>
      </w:r>
    </w:p>
    <w:p w:rsidR="00C86FF4" w:rsidRPr="00B20691" w:rsidRDefault="00B20691" w:rsidP="0081710F">
      <w:pPr>
        <w:pStyle w:val="ListParagraph"/>
        <w:ind w:left="1080" w:hanging="360"/>
        <w:rPr>
          <w:rFonts w:asciiTheme="minorHAnsi" w:hAnsiTheme="minorHAnsi" w:cstheme="minorHAnsi"/>
        </w:rPr>
      </w:pPr>
      <w:r>
        <w:rPr>
          <w:rFonts w:asciiTheme="minorHAnsi" w:hAnsiTheme="minorHAnsi" w:cstheme="minorHAnsi"/>
        </w:rPr>
        <w:t>(e</w:t>
      </w:r>
      <w:r w:rsidR="00C86FF4" w:rsidRPr="00B20691">
        <w:rPr>
          <w:rFonts w:asciiTheme="minorHAnsi" w:hAnsiTheme="minorHAnsi" w:cstheme="minorHAnsi"/>
        </w:rPr>
        <w:t>)</w:t>
      </w:r>
      <w:r>
        <w:rPr>
          <w:rFonts w:asciiTheme="minorHAnsi" w:hAnsiTheme="minorHAnsi" w:cstheme="minorHAnsi"/>
        </w:rPr>
        <w:t>  </w:t>
      </w:r>
      <w:r w:rsidR="00C86FF4" w:rsidRPr="00B20691">
        <w:rPr>
          <w:rStyle w:val="st1"/>
          <w:rFonts w:asciiTheme="minorHAnsi" w:hAnsiTheme="minorHAnsi" w:cstheme="minorHAnsi"/>
          <w:lang w:val="en"/>
        </w:rPr>
        <w:t>Whānau Ora</w:t>
      </w:r>
      <w:r w:rsidR="00C86FF4" w:rsidRPr="00B20691">
        <w:rPr>
          <w:rFonts w:asciiTheme="minorHAnsi" w:hAnsiTheme="minorHAnsi" w:cstheme="minorHAnsi"/>
        </w:rPr>
        <w:t>;</w:t>
      </w:r>
    </w:p>
    <w:p w:rsidR="00C86FF4" w:rsidRPr="00B20691" w:rsidRDefault="00B20691" w:rsidP="0081710F">
      <w:pPr>
        <w:pStyle w:val="ListParagraph"/>
        <w:ind w:left="1080" w:hanging="360"/>
        <w:rPr>
          <w:rFonts w:asciiTheme="minorHAnsi" w:hAnsiTheme="minorHAnsi" w:cstheme="minorHAnsi"/>
        </w:rPr>
      </w:pPr>
      <w:r>
        <w:rPr>
          <w:rFonts w:asciiTheme="minorHAnsi" w:hAnsiTheme="minorHAnsi" w:cstheme="minorHAnsi"/>
        </w:rPr>
        <w:t>(f</w:t>
      </w:r>
      <w:r w:rsidR="00C86FF4" w:rsidRPr="00B20691">
        <w:rPr>
          <w:rFonts w:asciiTheme="minorHAnsi" w:hAnsiTheme="minorHAnsi" w:cstheme="minorHAnsi"/>
        </w:rPr>
        <w:t>)</w:t>
      </w:r>
      <w:r w:rsidR="00472C9D" w:rsidRPr="00B20691">
        <w:rPr>
          <w:rFonts w:asciiTheme="minorHAnsi" w:hAnsiTheme="minorHAnsi" w:cstheme="minorHAnsi"/>
        </w:rPr>
        <w:t>   </w:t>
      </w:r>
      <w:r w:rsidR="00C86FF4" w:rsidRPr="00B20691">
        <w:rPr>
          <w:rFonts w:asciiTheme="minorHAnsi" w:hAnsiTheme="minorHAnsi" w:cstheme="minorHAnsi"/>
        </w:rPr>
        <w:t>Family Start;</w:t>
      </w:r>
    </w:p>
    <w:p w:rsidR="00C86FF4" w:rsidRPr="00B20691" w:rsidRDefault="00B20691" w:rsidP="0081710F">
      <w:pPr>
        <w:pStyle w:val="ListParagraph"/>
        <w:ind w:left="1080" w:hanging="360"/>
        <w:rPr>
          <w:rFonts w:asciiTheme="minorHAnsi" w:hAnsiTheme="minorHAnsi" w:cstheme="minorHAnsi"/>
        </w:rPr>
      </w:pPr>
      <w:r>
        <w:rPr>
          <w:rFonts w:asciiTheme="minorHAnsi" w:hAnsiTheme="minorHAnsi" w:cstheme="minorHAnsi"/>
        </w:rPr>
        <w:t>(h</w:t>
      </w:r>
      <w:r w:rsidR="00C86FF4" w:rsidRPr="00B20691">
        <w:rPr>
          <w:rFonts w:asciiTheme="minorHAnsi" w:hAnsiTheme="minorHAnsi" w:cstheme="minorHAnsi"/>
        </w:rPr>
        <w:t>)</w:t>
      </w:r>
      <w:r>
        <w:rPr>
          <w:rFonts w:asciiTheme="minorHAnsi" w:hAnsiTheme="minorHAnsi" w:cstheme="minorHAnsi"/>
        </w:rPr>
        <w:t>  </w:t>
      </w:r>
      <w:r w:rsidR="00C86FF4" w:rsidRPr="00B20691">
        <w:rPr>
          <w:rFonts w:asciiTheme="minorHAnsi" w:hAnsiTheme="minorHAnsi" w:cstheme="minorHAnsi"/>
        </w:rPr>
        <w:t>Free health care for under 6’s;</w:t>
      </w:r>
    </w:p>
    <w:p w:rsidR="00C86FF4" w:rsidRPr="00B20691" w:rsidRDefault="00B20691" w:rsidP="0081710F">
      <w:pPr>
        <w:pStyle w:val="ListParagraph"/>
        <w:ind w:left="1080" w:hanging="360"/>
        <w:rPr>
          <w:rFonts w:asciiTheme="minorHAnsi" w:hAnsiTheme="minorHAnsi" w:cstheme="minorHAnsi"/>
        </w:rPr>
      </w:pPr>
      <w:r>
        <w:rPr>
          <w:rFonts w:asciiTheme="minorHAnsi" w:hAnsiTheme="minorHAnsi" w:cstheme="minorHAnsi"/>
        </w:rPr>
        <w:t>(i</w:t>
      </w:r>
      <w:r w:rsidR="00C86FF4" w:rsidRPr="00B20691">
        <w:rPr>
          <w:rFonts w:asciiTheme="minorHAnsi" w:hAnsiTheme="minorHAnsi" w:cstheme="minorHAnsi"/>
        </w:rPr>
        <w:t>)</w:t>
      </w:r>
      <w:r w:rsidR="001A143B">
        <w:rPr>
          <w:rFonts w:asciiTheme="minorHAnsi" w:hAnsiTheme="minorHAnsi" w:cstheme="minorHAnsi"/>
        </w:rPr>
        <w:t>  </w:t>
      </w:r>
      <w:r w:rsidR="00C86FF4" w:rsidRPr="00B20691">
        <w:rPr>
          <w:rFonts w:asciiTheme="minorHAnsi" w:hAnsiTheme="minorHAnsi" w:cstheme="minorHAnsi"/>
        </w:rPr>
        <w:t>Pre-school subsidies;</w:t>
      </w:r>
    </w:p>
    <w:p w:rsidR="0060579A" w:rsidRPr="00B20691" w:rsidRDefault="00B20691" w:rsidP="0081710F">
      <w:pPr>
        <w:pStyle w:val="ListParagraph"/>
        <w:ind w:left="1080" w:hanging="360"/>
        <w:rPr>
          <w:rFonts w:asciiTheme="minorHAnsi" w:hAnsiTheme="minorHAnsi" w:cstheme="minorHAnsi"/>
        </w:rPr>
      </w:pPr>
      <w:r>
        <w:rPr>
          <w:rFonts w:asciiTheme="minorHAnsi" w:hAnsiTheme="minorHAnsi" w:cstheme="minorHAnsi"/>
        </w:rPr>
        <w:t>(j</w:t>
      </w:r>
      <w:r w:rsidR="0060579A" w:rsidRPr="00B20691">
        <w:rPr>
          <w:rFonts w:asciiTheme="minorHAnsi" w:hAnsiTheme="minorHAnsi" w:cstheme="minorHAnsi"/>
        </w:rPr>
        <w:t xml:space="preserve">)  Benefit transfers; </w:t>
      </w:r>
    </w:p>
    <w:p w:rsidR="00C86FF4" w:rsidRPr="00B20691" w:rsidRDefault="00B20691" w:rsidP="0081710F">
      <w:pPr>
        <w:pStyle w:val="ListParagraph"/>
        <w:ind w:left="1080" w:hanging="360"/>
        <w:rPr>
          <w:rFonts w:asciiTheme="minorHAnsi" w:hAnsiTheme="minorHAnsi" w:cstheme="minorHAnsi"/>
        </w:rPr>
      </w:pPr>
      <w:r>
        <w:rPr>
          <w:rFonts w:asciiTheme="minorHAnsi" w:hAnsiTheme="minorHAnsi" w:cstheme="minorHAnsi"/>
        </w:rPr>
        <w:t>(k</w:t>
      </w:r>
      <w:r w:rsidR="00C86FF4" w:rsidRPr="00B20691">
        <w:rPr>
          <w:rFonts w:asciiTheme="minorHAnsi" w:hAnsiTheme="minorHAnsi" w:cstheme="minorHAnsi"/>
        </w:rPr>
        <w:t>)</w:t>
      </w:r>
      <w:r>
        <w:rPr>
          <w:rFonts w:asciiTheme="minorHAnsi" w:hAnsiTheme="minorHAnsi" w:cstheme="minorHAnsi"/>
        </w:rPr>
        <w:t>  </w:t>
      </w:r>
      <w:r w:rsidR="00C86FF4" w:rsidRPr="00B20691">
        <w:rPr>
          <w:rFonts w:asciiTheme="minorHAnsi" w:hAnsiTheme="minorHAnsi" w:cstheme="minorHAnsi"/>
        </w:rPr>
        <w:t>Paid parental leave;</w:t>
      </w:r>
    </w:p>
    <w:p w:rsidR="00C86FF4" w:rsidRPr="00B20691" w:rsidRDefault="00B20691" w:rsidP="0081710F">
      <w:pPr>
        <w:pStyle w:val="ListParagraph"/>
        <w:ind w:left="1080" w:hanging="360"/>
        <w:rPr>
          <w:rFonts w:asciiTheme="minorHAnsi" w:hAnsiTheme="minorHAnsi" w:cstheme="minorHAnsi"/>
        </w:rPr>
      </w:pPr>
      <w:r>
        <w:rPr>
          <w:rFonts w:asciiTheme="minorHAnsi" w:hAnsiTheme="minorHAnsi" w:cstheme="minorHAnsi"/>
        </w:rPr>
        <w:t>(l</w:t>
      </w:r>
      <w:r w:rsidR="00C86FF4" w:rsidRPr="00B20691">
        <w:rPr>
          <w:rFonts w:asciiTheme="minorHAnsi" w:hAnsiTheme="minorHAnsi" w:cstheme="minorHAnsi"/>
        </w:rPr>
        <w:t>)</w:t>
      </w:r>
      <w:r w:rsidR="0060579A" w:rsidRPr="00B20691">
        <w:rPr>
          <w:rFonts w:asciiTheme="minorHAnsi" w:hAnsiTheme="minorHAnsi" w:cstheme="minorHAnsi"/>
        </w:rPr>
        <w:t>  </w:t>
      </w:r>
      <w:r w:rsidR="00C86FF4" w:rsidRPr="00B20691">
        <w:rPr>
          <w:rFonts w:asciiTheme="minorHAnsi" w:hAnsiTheme="minorHAnsi" w:cstheme="minorHAnsi"/>
        </w:rPr>
        <w:t>Working for Families; and</w:t>
      </w:r>
    </w:p>
    <w:p w:rsidR="00C86FF4" w:rsidRPr="00B20691" w:rsidRDefault="00B20691" w:rsidP="0081710F">
      <w:pPr>
        <w:pStyle w:val="ListParagraph"/>
        <w:ind w:left="1080" w:hanging="360"/>
        <w:rPr>
          <w:rFonts w:asciiTheme="minorHAnsi" w:hAnsiTheme="minorHAnsi" w:cstheme="minorHAnsi"/>
        </w:rPr>
      </w:pPr>
      <w:r>
        <w:rPr>
          <w:rFonts w:asciiTheme="minorHAnsi" w:hAnsiTheme="minorHAnsi" w:cstheme="minorHAnsi"/>
        </w:rPr>
        <w:t>(m</w:t>
      </w:r>
      <w:r w:rsidR="00C86FF4" w:rsidRPr="00B20691">
        <w:rPr>
          <w:rFonts w:asciiTheme="minorHAnsi" w:hAnsiTheme="minorHAnsi" w:cstheme="minorHAnsi"/>
        </w:rPr>
        <w:t xml:space="preserve">) Child care subsidies. </w:t>
      </w:r>
    </w:p>
    <w:p w:rsidR="00651F0D" w:rsidRDefault="00651F0D" w:rsidP="00651F0D">
      <w:pPr>
        <w:autoSpaceDE w:val="0"/>
        <w:autoSpaceDN w:val="0"/>
        <w:adjustRightInd w:val="0"/>
        <w:spacing w:after="0" w:line="240" w:lineRule="auto"/>
        <w:jc w:val="both"/>
        <w:rPr>
          <w:lang w:val="en-US"/>
        </w:rPr>
      </w:pPr>
    </w:p>
    <w:p w:rsidR="00651F0D" w:rsidRDefault="00EA3F22" w:rsidP="008E6FEB">
      <w:pPr>
        <w:autoSpaceDE w:val="0"/>
        <w:autoSpaceDN w:val="0"/>
        <w:adjustRightInd w:val="0"/>
        <w:spacing w:after="0" w:line="240" w:lineRule="auto"/>
        <w:ind w:left="720" w:hanging="720"/>
        <w:jc w:val="both"/>
      </w:pPr>
      <w:r>
        <w:rPr>
          <w:lang w:val="en-US"/>
        </w:rPr>
        <w:t>40</w:t>
      </w:r>
      <w:r w:rsidR="0081710F">
        <w:rPr>
          <w:lang w:val="en-US"/>
        </w:rPr>
        <w:tab/>
        <w:t>Whether this investment, the balance between</w:t>
      </w:r>
      <w:r w:rsidR="008A468B">
        <w:rPr>
          <w:lang w:val="en-US"/>
        </w:rPr>
        <w:t xml:space="preserve"> the interventions</w:t>
      </w:r>
      <w:r w:rsidR="002F4ADA">
        <w:rPr>
          <w:lang w:val="en-US"/>
        </w:rPr>
        <w:t xml:space="preserve"> and the</w:t>
      </w:r>
      <w:r w:rsidR="0081710F">
        <w:rPr>
          <w:lang w:val="en-US"/>
        </w:rPr>
        <w:t xml:space="preserve"> nature of the targeting </w:t>
      </w:r>
      <w:r w:rsidR="0060579A">
        <w:rPr>
          <w:lang w:val="en-US"/>
        </w:rPr>
        <w:t xml:space="preserve">of this </w:t>
      </w:r>
      <w:r w:rsidR="0060579A" w:rsidRPr="008E6FEB">
        <w:rPr>
          <w:u w:val="single"/>
          <w:lang w:val="en-US"/>
        </w:rPr>
        <w:t xml:space="preserve">entire </w:t>
      </w:r>
      <w:r w:rsidR="0060579A" w:rsidRPr="0060579A">
        <w:rPr>
          <w:u w:val="single"/>
          <w:lang w:val="en-US"/>
        </w:rPr>
        <w:t>suite</w:t>
      </w:r>
      <w:r w:rsidR="0060579A">
        <w:rPr>
          <w:lang w:val="en-US"/>
        </w:rPr>
        <w:t xml:space="preserve"> </w:t>
      </w:r>
      <w:r w:rsidR="008A468B">
        <w:rPr>
          <w:lang w:val="en-US"/>
        </w:rPr>
        <w:t>are</w:t>
      </w:r>
      <w:r w:rsidR="0081710F">
        <w:rPr>
          <w:lang w:val="en-US"/>
        </w:rPr>
        <w:t xml:space="preserve"> optimal for the most vulnerable children and </w:t>
      </w:r>
      <w:r w:rsidR="008E6FEB">
        <w:rPr>
          <w:lang w:val="en-US"/>
        </w:rPr>
        <w:t>families is</w:t>
      </w:r>
      <w:r w:rsidR="0081710F">
        <w:rPr>
          <w:lang w:val="en-US"/>
        </w:rPr>
        <w:t xml:space="preserve"> not clear</w:t>
      </w:r>
      <w:r w:rsidR="00F32E89">
        <w:rPr>
          <w:lang w:val="en-US"/>
        </w:rPr>
        <w:t xml:space="preserve">. </w:t>
      </w:r>
      <w:r w:rsidR="00F32E89" w:rsidRPr="00F32E89">
        <w:t>Measures to increase family income</w:t>
      </w:r>
      <w:r w:rsidR="00F32E89">
        <w:t xml:space="preserve"> </w:t>
      </w:r>
      <w:r w:rsidR="00F32E89" w:rsidRPr="00F32E89">
        <w:t>will be most effective in improving</w:t>
      </w:r>
      <w:r w:rsidR="00F32E89">
        <w:t xml:space="preserve"> </w:t>
      </w:r>
      <w:r w:rsidR="00F32E89" w:rsidRPr="00F32E89">
        <w:t>child outcomes if they are targeted to</w:t>
      </w:r>
      <w:r w:rsidR="00F32E89">
        <w:t xml:space="preserve"> </w:t>
      </w:r>
      <w:r w:rsidR="00F32E89" w:rsidRPr="00F32E89">
        <w:t>the poorest families, very early in the</w:t>
      </w:r>
      <w:r w:rsidR="00F32E89">
        <w:t xml:space="preserve"> life of the child. R</w:t>
      </w:r>
      <w:r w:rsidR="00F32E89" w:rsidRPr="00F32E89">
        <w:t>ates of return are highest when</w:t>
      </w:r>
      <w:r w:rsidR="00F32E89">
        <w:t xml:space="preserve"> </w:t>
      </w:r>
      <w:r w:rsidR="00F32E89" w:rsidRPr="00F32E89">
        <w:t>interventions focus in the early years</w:t>
      </w:r>
      <w:r w:rsidR="00F32E89">
        <w:t xml:space="preserve"> </w:t>
      </w:r>
      <w:r w:rsidR="00F32E89" w:rsidRPr="00F32E89">
        <w:t>because competence builds competence</w:t>
      </w:r>
      <w:r w:rsidR="00F32E89">
        <w:t xml:space="preserve"> </w:t>
      </w:r>
      <w:r w:rsidR="00F32E89" w:rsidRPr="00F32E89">
        <w:t>and because society has the longest time</w:t>
      </w:r>
      <w:r w:rsidR="00F32E89">
        <w:t xml:space="preserve"> to recoup the investment </w:t>
      </w:r>
      <w:r w:rsidR="00F32E89" w:rsidRPr="00F32E89">
        <w:t>(</w:t>
      </w:r>
      <w:r w:rsidR="00F32E89">
        <w:t>“</w:t>
      </w:r>
      <w:r w:rsidR="00F32E89" w:rsidRPr="00F32E89">
        <w:rPr>
          <w:rFonts w:cstheme="minorHAnsi"/>
          <w:i/>
        </w:rPr>
        <w:t>Doing Better for Children</w:t>
      </w:r>
      <w:r w:rsidR="00F32E89">
        <w:rPr>
          <w:rFonts w:cstheme="minorHAnsi"/>
        </w:rPr>
        <w:t xml:space="preserve">” </w:t>
      </w:r>
      <w:r w:rsidR="00F32E89">
        <w:t xml:space="preserve">OECD, 2009). </w:t>
      </w:r>
      <w:r w:rsidR="0081710F">
        <w:rPr>
          <w:lang w:val="en-US"/>
        </w:rPr>
        <w:t xml:space="preserve">It would be useful </w:t>
      </w:r>
      <w:r w:rsidR="002F4ADA">
        <w:rPr>
          <w:lang w:val="en-US"/>
        </w:rPr>
        <w:t xml:space="preserve">for the AEG </w:t>
      </w:r>
      <w:r w:rsidR="0081710F">
        <w:rPr>
          <w:lang w:val="en-US"/>
        </w:rPr>
        <w:t>to consider</w:t>
      </w:r>
      <w:r w:rsidR="002F4ADA">
        <w:rPr>
          <w:lang w:val="en-US"/>
        </w:rPr>
        <w:t xml:space="preserve"> this in </w:t>
      </w:r>
      <w:r w:rsidR="0060579A">
        <w:rPr>
          <w:lang w:val="en-US"/>
        </w:rPr>
        <w:t xml:space="preserve">further </w:t>
      </w:r>
      <w:r w:rsidR="002F4ADA">
        <w:rPr>
          <w:lang w:val="en-US"/>
        </w:rPr>
        <w:t>detail</w:t>
      </w:r>
      <w:r w:rsidR="008E6FEB">
        <w:rPr>
          <w:lang w:val="en-US"/>
        </w:rPr>
        <w:t xml:space="preserve"> as this suite of interventions represents</w:t>
      </w:r>
      <w:r w:rsidR="007A78B3">
        <w:rPr>
          <w:lang w:val="en-US"/>
        </w:rPr>
        <w:t xml:space="preserve"> our</w:t>
      </w:r>
      <w:r w:rsidR="007B031E">
        <w:rPr>
          <w:lang w:val="en-US"/>
        </w:rPr>
        <w:t xml:space="preserve"> </w:t>
      </w:r>
      <w:r w:rsidR="0060579A">
        <w:rPr>
          <w:lang w:val="en-US"/>
        </w:rPr>
        <w:t xml:space="preserve">core </w:t>
      </w:r>
      <w:r w:rsidR="00472C9D">
        <w:rPr>
          <w:lang w:val="en-US"/>
        </w:rPr>
        <w:t>protections</w:t>
      </w:r>
      <w:r w:rsidR="007A78B3">
        <w:rPr>
          <w:lang w:val="en-US"/>
        </w:rPr>
        <w:t xml:space="preserve"> against child poverty</w:t>
      </w:r>
      <w:r w:rsidR="0081710F">
        <w:rPr>
          <w:lang w:val="en-US"/>
        </w:rPr>
        <w:t xml:space="preserve">. </w:t>
      </w:r>
    </w:p>
    <w:p w:rsidR="008E6FEB" w:rsidRPr="008E6FEB" w:rsidRDefault="008E6FEB" w:rsidP="008E6FEB">
      <w:pPr>
        <w:autoSpaceDE w:val="0"/>
        <w:autoSpaceDN w:val="0"/>
        <w:adjustRightInd w:val="0"/>
        <w:spacing w:after="0" w:line="240" w:lineRule="auto"/>
        <w:ind w:left="720" w:hanging="720"/>
        <w:jc w:val="both"/>
      </w:pPr>
    </w:p>
    <w:p w:rsidR="00EA3F22" w:rsidRPr="00503707" w:rsidRDefault="00EA3F22" w:rsidP="00503707">
      <w:pPr>
        <w:ind w:left="720" w:hanging="720"/>
      </w:pPr>
      <w:r>
        <w:rPr>
          <w:lang w:val="en-US"/>
        </w:rPr>
        <w:t>41</w:t>
      </w:r>
      <w:r w:rsidR="00C86FF4">
        <w:rPr>
          <w:lang w:val="en-US"/>
        </w:rPr>
        <w:tab/>
      </w:r>
      <w:r w:rsidR="00B368E5">
        <w:rPr>
          <w:lang w:val="en-US"/>
        </w:rPr>
        <w:t xml:space="preserve">There are </w:t>
      </w:r>
      <w:r w:rsidR="000C58F9">
        <w:rPr>
          <w:lang w:val="en-US"/>
        </w:rPr>
        <w:t xml:space="preserve">multiple </w:t>
      </w:r>
      <w:r w:rsidR="00B368E5">
        <w:rPr>
          <w:lang w:val="en-US"/>
        </w:rPr>
        <w:t>views on why poverty persists across generations in New Zealand</w:t>
      </w:r>
      <w:r w:rsidR="000C58F9">
        <w:rPr>
          <w:lang w:val="en-US"/>
        </w:rPr>
        <w:t>, with two extremes</w:t>
      </w:r>
      <w:r w:rsidR="00B368E5">
        <w:rPr>
          <w:lang w:val="en-US"/>
        </w:rPr>
        <w:t>. One the “hardline” conservative view, poverty is the result of bad</w:t>
      </w:r>
      <w:r w:rsidR="00E10FBE">
        <w:rPr>
          <w:lang w:val="en-US"/>
        </w:rPr>
        <w:t xml:space="preserve"> choices: not staying in school; not taking a job; and</w:t>
      </w:r>
      <w:r w:rsidR="00B368E5">
        <w:rPr>
          <w:lang w:val="en-US"/>
        </w:rPr>
        <w:t xml:space="preserve"> not waiting to have a child. At the other end is the “liberal” social justice view that poverty is simply a lack of money</w:t>
      </w:r>
      <w:r w:rsidR="000C58F9">
        <w:rPr>
          <w:lang w:val="en-US"/>
        </w:rPr>
        <w:t xml:space="preserve"> and quality service</w:t>
      </w:r>
      <w:r w:rsidR="004B6659">
        <w:rPr>
          <w:lang w:val="en-US"/>
        </w:rPr>
        <w:t>’s</w:t>
      </w:r>
      <w:r w:rsidR="000C58F9">
        <w:rPr>
          <w:lang w:val="en-US"/>
        </w:rPr>
        <w:t xml:space="preserve"> supplied via taxes by Government</w:t>
      </w:r>
      <w:r w:rsidR="00B368E5">
        <w:rPr>
          <w:lang w:val="en-US"/>
        </w:rPr>
        <w:t xml:space="preserve">. Provide enough income support and intergenerational poverty will disappear overnight.  Both hold true for some populations at the margins but strong incentives to job search, adequate income protection, a strength based approach to interventions  based on </w:t>
      </w:r>
      <w:r w:rsidR="003131B3">
        <w:rPr>
          <w:lang w:val="en-US"/>
        </w:rPr>
        <w:t xml:space="preserve"> localised </w:t>
      </w:r>
      <w:r w:rsidR="00B368E5">
        <w:rPr>
          <w:lang w:val="en-US"/>
        </w:rPr>
        <w:t xml:space="preserve">individual need and a very strong focus on economic growth cater for the majority </w:t>
      </w:r>
      <w:r w:rsidR="005F494A">
        <w:rPr>
          <w:lang w:val="en-US"/>
        </w:rPr>
        <w:t xml:space="preserve">of </w:t>
      </w:r>
      <w:r w:rsidR="0030035C">
        <w:rPr>
          <w:lang w:val="en-US"/>
        </w:rPr>
        <w:t xml:space="preserve">vulnerable </w:t>
      </w:r>
      <w:r w:rsidR="005F494A">
        <w:rPr>
          <w:lang w:val="en-US"/>
        </w:rPr>
        <w:t xml:space="preserve">families and children </w:t>
      </w:r>
      <w:r w:rsidR="00B368E5">
        <w:rPr>
          <w:lang w:val="en-US"/>
        </w:rPr>
        <w:t>at risk.</w:t>
      </w:r>
    </w:p>
    <w:p w:rsidR="002E2575" w:rsidRPr="00581B49" w:rsidRDefault="002E2575" w:rsidP="00EA3F22">
      <w:pPr>
        <w:ind w:left="720"/>
        <w:rPr>
          <w:u w:val="single"/>
          <w:lang w:val="en-US"/>
        </w:rPr>
      </w:pPr>
      <w:r w:rsidRPr="00581B49">
        <w:rPr>
          <w:u w:val="single"/>
          <w:lang w:val="en-US"/>
        </w:rPr>
        <w:t>Targeting</w:t>
      </w:r>
    </w:p>
    <w:p w:rsidR="00F860DC" w:rsidRPr="00B368E5" w:rsidRDefault="00EA3F22" w:rsidP="00B368E5">
      <w:pPr>
        <w:ind w:left="720" w:hanging="720"/>
        <w:rPr>
          <w:rFonts w:ascii="Calibri" w:hAnsi="Calibri" w:cs="Calibri"/>
          <w:lang w:val="en-US"/>
        </w:rPr>
      </w:pPr>
      <w:r>
        <w:rPr>
          <w:lang w:val="en-US"/>
        </w:rPr>
        <w:t>42</w:t>
      </w:r>
      <w:r w:rsidR="004D30B5">
        <w:rPr>
          <w:lang w:val="en-US"/>
        </w:rPr>
        <w:tab/>
        <w:t xml:space="preserve">The </w:t>
      </w:r>
      <w:r w:rsidR="00BE5E7E">
        <w:rPr>
          <w:lang w:val="en-US"/>
        </w:rPr>
        <w:t xml:space="preserve">AEG </w:t>
      </w:r>
      <w:r w:rsidR="004D30B5">
        <w:rPr>
          <w:lang w:val="en-US"/>
        </w:rPr>
        <w:t>report</w:t>
      </w:r>
      <w:r w:rsidR="00F860DC">
        <w:rPr>
          <w:lang w:val="en-US"/>
        </w:rPr>
        <w:t xml:space="preserve"> recommends a move from targeting to universal transfers. </w:t>
      </w:r>
      <w:r w:rsidR="004D30B5">
        <w:rPr>
          <w:rFonts w:ascii="Calibri" w:hAnsi="Calibri" w:cs="Calibri"/>
        </w:rPr>
        <w:t>In assessing the appropriateness of universal or targeting of social services the following</w:t>
      </w:r>
      <w:r w:rsidR="00F860DC">
        <w:t xml:space="preserve"> </w:t>
      </w:r>
      <w:r w:rsidR="004D30B5">
        <w:rPr>
          <w:rFonts w:ascii="Calibri" w:hAnsi="Calibri" w:cs="Calibri"/>
        </w:rPr>
        <w:t>principles are useful to consider:</w:t>
      </w:r>
    </w:p>
    <w:p w:rsidR="004D30B5" w:rsidRDefault="004D30B5" w:rsidP="003866C7">
      <w:pPr>
        <w:pStyle w:val="NoSpacing"/>
        <w:numPr>
          <w:ilvl w:val="0"/>
          <w:numId w:val="5"/>
        </w:numPr>
      </w:pPr>
      <w:r>
        <w:t>the nature of the problem to address;</w:t>
      </w:r>
    </w:p>
    <w:p w:rsidR="004D30B5" w:rsidRDefault="004D30B5" w:rsidP="003866C7">
      <w:pPr>
        <w:pStyle w:val="NoSpacing"/>
        <w:numPr>
          <w:ilvl w:val="0"/>
          <w:numId w:val="5"/>
        </w:numPr>
      </w:pPr>
      <w:r>
        <w:t>efficiency including the deadweight cost i.e. funding services that may be provided</w:t>
      </w:r>
      <w:r w:rsidR="00F860DC">
        <w:t xml:space="preserve"> </w:t>
      </w:r>
      <w:r>
        <w:t>anyway;</w:t>
      </w:r>
    </w:p>
    <w:p w:rsidR="004D30B5" w:rsidRDefault="004D30B5" w:rsidP="003866C7">
      <w:pPr>
        <w:pStyle w:val="NoSpacing"/>
        <w:numPr>
          <w:ilvl w:val="0"/>
          <w:numId w:val="5"/>
        </w:numPr>
      </w:pPr>
      <w:r>
        <w:t>fiscal sustainability of the intervention;</w:t>
      </w:r>
    </w:p>
    <w:p w:rsidR="004D30B5" w:rsidRDefault="004D30B5" w:rsidP="003866C7">
      <w:pPr>
        <w:pStyle w:val="NoSpacing"/>
        <w:numPr>
          <w:ilvl w:val="0"/>
          <w:numId w:val="5"/>
        </w:numPr>
      </w:pPr>
      <w:r>
        <w:t>spread of the harm in the population;</w:t>
      </w:r>
    </w:p>
    <w:p w:rsidR="004D30B5" w:rsidRDefault="004D30B5" w:rsidP="003866C7">
      <w:pPr>
        <w:pStyle w:val="NoSpacing"/>
        <w:numPr>
          <w:ilvl w:val="0"/>
          <w:numId w:val="5"/>
        </w:numPr>
      </w:pPr>
      <w:r>
        <w:lastRenderedPageBreak/>
        <w:t>ability to discover and prevent any material harm at low cost;</w:t>
      </w:r>
    </w:p>
    <w:p w:rsidR="004D30B5" w:rsidRDefault="004D30B5" w:rsidP="003866C7">
      <w:pPr>
        <w:pStyle w:val="NoSpacing"/>
        <w:numPr>
          <w:ilvl w:val="0"/>
          <w:numId w:val="5"/>
        </w:numPr>
      </w:pPr>
      <w:r>
        <w:t>suitability of proxies to identify those harmed; and</w:t>
      </w:r>
    </w:p>
    <w:p w:rsidR="004D30B5" w:rsidRDefault="004D30B5" w:rsidP="003866C7">
      <w:pPr>
        <w:pStyle w:val="NoSpacing"/>
        <w:numPr>
          <w:ilvl w:val="0"/>
          <w:numId w:val="5"/>
        </w:numPr>
      </w:pPr>
      <w:r>
        <w:t>administration costs.</w:t>
      </w:r>
    </w:p>
    <w:p w:rsidR="00F860DC" w:rsidRDefault="00F860DC" w:rsidP="004D30B5">
      <w:pPr>
        <w:autoSpaceDE w:val="0"/>
        <w:autoSpaceDN w:val="0"/>
        <w:adjustRightInd w:val="0"/>
        <w:spacing w:after="0" w:line="240" w:lineRule="auto"/>
        <w:rPr>
          <w:rFonts w:ascii="Calibri" w:hAnsi="Calibri" w:cs="Calibri"/>
        </w:rPr>
      </w:pPr>
    </w:p>
    <w:p w:rsidR="00F2151C" w:rsidRDefault="00EA3F22" w:rsidP="00F2151C">
      <w:pPr>
        <w:pStyle w:val="NoSpacing"/>
        <w:ind w:left="720" w:hanging="720"/>
      </w:pPr>
      <w:r>
        <w:t>43</w:t>
      </w:r>
      <w:r w:rsidR="00F860DC">
        <w:tab/>
      </w:r>
      <w:r w:rsidR="004D30B5" w:rsidRPr="00F860DC">
        <w:t xml:space="preserve">We believe the </w:t>
      </w:r>
      <w:r w:rsidR="00F860DC" w:rsidRPr="00F860DC">
        <w:t xml:space="preserve">EAG </w:t>
      </w:r>
      <w:r w:rsidR="004D30B5" w:rsidRPr="00F860DC">
        <w:t>should present analysis against the above factors in considering</w:t>
      </w:r>
      <w:r w:rsidR="00F860DC">
        <w:t xml:space="preserve"> </w:t>
      </w:r>
      <w:r w:rsidR="00F860DC" w:rsidRPr="00F860DC">
        <w:t>if current o</w:t>
      </w:r>
      <w:r w:rsidR="00F860DC">
        <w:t>r f</w:t>
      </w:r>
      <w:r w:rsidR="004D30B5" w:rsidRPr="00F860DC">
        <w:t>uture services</w:t>
      </w:r>
      <w:r w:rsidR="00BE5E7E">
        <w:t>/transfers</w:t>
      </w:r>
      <w:r w:rsidR="004D30B5" w:rsidRPr="00F860DC">
        <w:t xml:space="preserve"> are to be universal or targeted.</w:t>
      </w:r>
      <w:r w:rsidR="00F860DC" w:rsidRPr="00F860DC">
        <w:t xml:space="preserve"> To date we are not convinced of the merits</w:t>
      </w:r>
      <w:r w:rsidR="0081710F">
        <w:t xml:space="preserve"> of universal child payments</w:t>
      </w:r>
      <w:r w:rsidR="00F860DC">
        <w:t xml:space="preserve">. Further in the absence of </w:t>
      </w:r>
      <w:r w:rsidR="00605992">
        <w:t xml:space="preserve">detailed </w:t>
      </w:r>
      <w:r w:rsidR="00F860DC">
        <w:t>costing information, it is</w:t>
      </w:r>
      <w:r w:rsidR="00605992">
        <w:t xml:space="preserve"> </w:t>
      </w:r>
      <w:r w:rsidR="000545EB">
        <w:t>difficult to</w:t>
      </w:r>
      <w:r w:rsidR="00F860DC">
        <w:t xml:space="preserve"> comment on the merits</w:t>
      </w:r>
      <w:r w:rsidR="00E10FBE">
        <w:t xml:space="preserve">, as the affordability, </w:t>
      </w:r>
      <w:r w:rsidR="00F860DC">
        <w:t xml:space="preserve">opportunity costs </w:t>
      </w:r>
      <w:r w:rsidR="00E10FBE">
        <w:t xml:space="preserve">and trade-offs </w:t>
      </w:r>
      <w:r w:rsidR="00F860DC">
        <w:t xml:space="preserve">cannot be </w:t>
      </w:r>
      <w:r w:rsidR="00605992">
        <w:t xml:space="preserve">fully </w:t>
      </w:r>
      <w:r w:rsidR="00F860DC">
        <w:t xml:space="preserve">considered. </w:t>
      </w:r>
    </w:p>
    <w:p w:rsidR="00734459" w:rsidRDefault="00734459" w:rsidP="00F2151C">
      <w:pPr>
        <w:pStyle w:val="NoSpacing"/>
        <w:ind w:left="720" w:hanging="720"/>
      </w:pPr>
    </w:p>
    <w:p w:rsidR="00F2151C" w:rsidRPr="00F2151C" w:rsidRDefault="00EA3F22" w:rsidP="009C3996">
      <w:pPr>
        <w:ind w:left="720" w:hanging="720"/>
      </w:pPr>
      <w:r>
        <w:t>44</w:t>
      </w:r>
      <w:r w:rsidR="00BE5E7E">
        <w:tab/>
        <w:t xml:space="preserve">We note that two general </w:t>
      </w:r>
      <w:r w:rsidR="00734459">
        <w:t xml:space="preserve">arguments </w:t>
      </w:r>
      <w:r w:rsidR="00BE5E7E">
        <w:t xml:space="preserve">are run in support of universal services/ transfers (a) </w:t>
      </w:r>
      <w:r w:rsidR="002A587F">
        <w:t xml:space="preserve">the possible </w:t>
      </w:r>
      <w:r w:rsidR="00734459">
        <w:t>stigma</w:t>
      </w:r>
      <w:r w:rsidR="00BE5E7E">
        <w:t xml:space="preserve"> caused by targeting; and (b) drop in </w:t>
      </w:r>
      <w:r w:rsidR="00734459">
        <w:t>middle class support</w:t>
      </w:r>
      <w:r w:rsidR="00BE5E7E">
        <w:t xml:space="preserve"> to assist low income </w:t>
      </w:r>
      <w:r w:rsidR="002A587F">
        <w:t xml:space="preserve">earners as others </w:t>
      </w:r>
      <w:r w:rsidR="00BE5E7E">
        <w:t xml:space="preserve">don’t benefit from targeted services/transfers. However we feel both arguments lack weight i.e. will people on low incomes feel any better if they trigger huge deadweight costs? Further we feel middle class support to assist people on low incomes isn’t so fly by night </w:t>
      </w:r>
      <w:r w:rsidR="00BE5E7E">
        <w:rPr>
          <w:lang w:val="en-US"/>
        </w:rPr>
        <w:t xml:space="preserve">and misreads New Zealander’s generally positive views on helping those prepared to help themselves. All welfare systems are like buckets, they will leak a little but the key may be refinement as we go not </w:t>
      </w:r>
      <w:r w:rsidR="00A7629D">
        <w:rPr>
          <w:lang w:val="en-US"/>
        </w:rPr>
        <w:t xml:space="preserve">large </w:t>
      </w:r>
      <w:r w:rsidR="00BE5E7E">
        <w:rPr>
          <w:lang w:val="en-US"/>
        </w:rPr>
        <w:t>increa</w:t>
      </w:r>
      <w:r w:rsidR="009C3996">
        <w:rPr>
          <w:lang w:val="en-US"/>
        </w:rPr>
        <w:t xml:space="preserve">ses in deadweight expenditure. </w:t>
      </w:r>
    </w:p>
    <w:p w:rsidR="00177A97" w:rsidRPr="00F2151C" w:rsidRDefault="00EA3F22" w:rsidP="00490511">
      <w:pPr>
        <w:ind w:left="720" w:hanging="720"/>
      </w:pPr>
      <w:r>
        <w:t>45</w:t>
      </w:r>
      <w:r w:rsidR="00F2151C">
        <w:tab/>
      </w:r>
      <w:r w:rsidR="00F2151C" w:rsidRPr="00F2151C">
        <w:t xml:space="preserve">We also </w:t>
      </w:r>
      <w:r w:rsidR="0081710F">
        <w:t>believe it is appropriate to re-</w:t>
      </w:r>
      <w:r w:rsidR="00F2151C" w:rsidRPr="00F2151C">
        <w:t>consider people’s ability to pay in assessing</w:t>
      </w:r>
      <w:r w:rsidR="00F2151C">
        <w:t xml:space="preserve"> </w:t>
      </w:r>
      <w:r w:rsidR="00F2151C" w:rsidRPr="00F2151C">
        <w:t>Government funding, and what services should be universal and what targeted. This is a</w:t>
      </w:r>
      <w:r w:rsidR="00F2151C">
        <w:t xml:space="preserve"> </w:t>
      </w:r>
      <w:r w:rsidR="00F2151C" w:rsidRPr="00F2151C">
        <w:t>difficult conclusion for a peak body of social service provid</w:t>
      </w:r>
      <w:r w:rsidR="00F2151C">
        <w:t xml:space="preserve">ers to reach, however the below </w:t>
      </w:r>
      <w:r w:rsidR="008E6FEB">
        <w:t>analysis</w:t>
      </w:r>
      <w:r w:rsidR="00F2151C" w:rsidRPr="00F2151C">
        <w:t xml:space="preserve">, </w:t>
      </w:r>
      <w:r w:rsidR="00F2151C" w:rsidRPr="00F2151C">
        <w:rPr>
          <w:i/>
          <w:iCs/>
        </w:rPr>
        <w:t xml:space="preserve">prima facie, </w:t>
      </w:r>
      <w:r w:rsidR="008E6FEB" w:rsidRPr="008E6FEB">
        <w:rPr>
          <w:iCs/>
        </w:rPr>
        <w:t xml:space="preserve">seems </w:t>
      </w:r>
      <w:r w:rsidR="00F2151C" w:rsidRPr="00F2151C">
        <w:t>very counter intuitive:</w:t>
      </w:r>
    </w:p>
    <w:p w:rsidR="00F2151C" w:rsidRPr="00F2151C" w:rsidRDefault="00F2151C" w:rsidP="00F2151C">
      <w:pPr>
        <w:autoSpaceDE w:val="0"/>
        <w:autoSpaceDN w:val="0"/>
        <w:adjustRightInd w:val="0"/>
        <w:spacing w:after="0" w:line="240" w:lineRule="auto"/>
        <w:ind w:left="720"/>
        <w:rPr>
          <w:rFonts w:cstheme="minorHAnsi"/>
          <w:i/>
          <w:iCs/>
        </w:rPr>
      </w:pPr>
      <w:r w:rsidRPr="00F2151C">
        <w:rPr>
          <w:rFonts w:cstheme="minorHAnsi"/>
        </w:rPr>
        <w:t>“</w:t>
      </w:r>
      <w:r w:rsidRPr="00F2151C">
        <w:rPr>
          <w:rFonts w:cstheme="minorHAnsi"/>
          <w:i/>
          <w:iCs/>
        </w:rPr>
        <w:t>For example, government spending on social services (i.e., health, education and</w:t>
      </w:r>
    </w:p>
    <w:p w:rsidR="00F2151C" w:rsidRPr="00F2151C" w:rsidRDefault="00F2151C" w:rsidP="00F2151C">
      <w:pPr>
        <w:autoSpaceDE w:val="0"/>
        <w:autoSpaceDN w:val="0"/>
        <w:adjustRightInd w:val="0"/>
        <w:spacing w:after="0" w:line="240" w:lineRule="auto"/>
        <w:ind w:left="720"/>
        <w:rPr>
          <w:rFonts w:cstheme="minorHAnsi"/>
          <w:i/>
          <w:iCs/>
        </w:rPr>
      </w:pPr>
      <w:r w:rsidRPr="00F2151C">
        <w:rPr>
          <w:rFonts w:cstheme="minorHAnsi"/>
          <w:i/>
          <w:iCs/>
        </w:rPr>
        <w:t>income support) increased by almost 20 per cent more for households in the top half of the</w:t>
      </w:r>
    </w:p>
    <w:p w:rsidR="00F2151C" w:rsidRPr="00F2151C" w:rsidRDefault="00F2151C" w:rsidP="00F2151C">
      <w:pPr>
        <w:autoSpaceDE w:val="0"/>
        <w:autoSpaceDN w:val="0"/>
        <w:adjustRightInd w:val="0"/>
        <w:spacing w:after="0" w:line="240" w:lineRule="auto"/>
        <w:ind w:left="720"/>
        <w:rPr>
          <w:rFonts w:cstheme="minorHAnsi"/>
          <w:i/>
          <w:iCs/>
        </w:rPr>
      </w:pPr>
      <w:r w:rsidRPr="00F2151C">
        <w:rPr>
          <w:rFonts w:cstheme="minorHAnsi"/>
          <w:i/>
          <w:iCs/>
        </w:rPr>
        <w:t>income distribution than for households in the bottom half of the income distribution</w:t>
      </w:r>
    </w:p>
    <w:p w:rsidR="00F2151C" w:rsidRPr="00F2151C" w:rsidRDefault="00F2151C" w:rsidP="00F2151C">
      <w:pPr>
        <w:autoSpaceDE w:val="0"/>
        <w:autoSpaceDN w:val="0"/>
        <w:adjustRightInd w:val="0"/>
        <w:spacing w:after="0" w:line="240" w:lineRule="auto"/>
        <w:ind w:left="720"/>
        <w:rPr>
          <w:rFonts w:cstheme="minorHAnsi"/>
          <w:i/>
          <w:iCs/>
        </w:rPr>
      </w:pPr>
      <w:r w:rsidRPr="00F2151C">
        <w:rPr>
          <w:rFonts w:cstheme="minorHAnsi"/>
          <w:i/>
          <w:iCs/>
        </w:rPr>
        <w:t>between 1997/98 and 2009/10 (figure 18). The spending increases for higher‐income</w:t>
      </w:r>
    </w:p>
    <w:p w:rsidR="00F2151C" w:rsidRPr="00F2151C" w:rsidRDefault="00F2151C" w:rsidP="00F2151C">
      <w:pPr>
        <w:autoSpaceDE w:val="0"/>
        <w:autoSpaceDN w:val="0"/>
        <w:adjustRightInd w:val="0"/>
        <w:spacing w:after="0" w:line="240" w:lineRule="auto"/>
        <w:ind w:left="720"/>
        <w:rPr>
          <w:rFonts w:cstheme="minorHAnsi"/>
          <w:i/>
          <w:iCs/>
        </w:rPr>
      </w:pPr>
      <w:r w:rsidRPr="00F2151C">
        <w:rPr>
          <w:rFonts w:cstheme="minorHAnsi"/>
          <w:i/>
          <w:iCs/>
        </w:rPr>
        <w:t>households have been primarily driven by higher education, health and NZS expenditure.</w:t>
      </w:r>
    </w:p>
    <w:p w:rsidR="00F2151C" w:rsidRPr="00F2151C" w:rsidRDefault="00F2151C" w:rsidP="00F2151C">
      <w:pPr>
        <w:autoSpaceDE w:val="0"/>
        <w:autoSpaceDN w:val="0"/>
        <w:adjustRightInd w:val="0"/>
        <w:spacing w:after="0" w:line="240" w:lineRule="auto"/>
        <w:ind w:left="720"/>
        <w:rPr>
          <w:rFonts w:cstheme="minorHAnsi"/>
        </w:rPr>
      </w:pPr>
      <w:r w:rsidRPr="009356E6">
        <w:rPr>
          <w:rFonts w:cstheme="minorHAnsi"/>
          <w:iCs/>
        </w:rPr>
        <w:t>(</w:t>
      </w:r>
      <w:r w:rsidR="009356E6">
        <w:rPr>
          <w:rFonts w:cstheme="minorHAnsi"/>
          <w:iCs/>
        </w:rPr>
        <w:t>“</w:t>
      </w:r>
      <w:r w:rsidR="004418BB" w:rsidRPr="00F2151C">
        <w:rPr>
          <w:rFonts w:cstheme="minorHAnsi"/>
          <w:i/>
          <w:iCs/>
        </w:rPr>
        <w:t>B</w:t>
      </w:r>
      <w:r w:rsidR="004418BB">
        <w:rPr>
          <w:rFonts w:cstheme="minorHAnsi"/>
          <w:i/>
          <w:iCs/>
        </w:rPr>
        <w:t xml:space="preserve">rief </w:t>
      </w:r>
      <w:r w:rsidR="009356E6">
        <w:rPr>
          <w:rFonts w:cstheme="minorHAnsi"/>
          <w:i/>
          <w:iCs/>
        </w:rPr>
        <w:t xml:space="preserve">for </w:t>
      </w:r>
      <w:r w:rsidRPr="00F2151C">
        <w:rPr>
          <w:rFonts w:cstheme="minorHAnsi"/>
          <w:i/>
          <w:iCs/>
        </w:rPr>
        <w:t>I</w:t>
      </w:r>
      <w:r w:rsidR="004418BB">
        <w:rPr>
          <w:rFonts w:cstheme="minorHAnsi"/>
          <w:i/>
          <w:iCs/>
        </w:rPr>
        <w:t>ncoming Minister</w:t>
      </w:r>
      <w:r w:rsidR="009356E6">
        <w:rPr>
          <w:rFonts w:cstheme="minorHAnsi"/>
          <w:i/>
          <w:iCs/>
        </w:rPr>
        <w:t xml:space="preserve">”, </w:t>
      </w:r>
      <w:r w:rsidR="009356E6">
        <w:rPr>
          <w:rFonts w:cstheme="minorHAnsi"/>
          <w:iCs/>
        </w:rPr>
        <w:t>Treasury,</w:t>
      </w:r>
      <w:r w:rsidRPr="009356E6">
        <w:rPr>
          <w:rFonts w:cstheme="minorHAnsi"/>
          <w:iCs/>
        </w:rPr>
        <w:t xml:space="preserve"> 2011)</w:t>
      </w:r>
      <w:r w:rsidRPr="00F2151C">
        <w:rPr>
          <w:rFonts w:cstheme="minorHAnsi"/>
        </w:rPr>
        <w:t>”</w:t>
      </w:r>
      <w:r w:rsidR="00D80D5E">
        <w:rPr>
          <w:rFonts w:cstheme="minorHAnsi"/>
        </w:rPr>
        <w:t>.</w:t>
      </w:r>
    </w:p>
    <w:p w:rsidR="00F2151C" w:rsidRDefault="00F2151C" w:rsidP="00F2151C">
      <w:pPr>
        <w:pStyle w:val="NoSpacing"/>
      </w:pPr>
    </w:p>
    <w:p w:rsidR="00F860DC" w:rsidRPr="00F2151C" w:rsidRDefault="00EA3F22" w:rsidP="00F2151C">
      <w:pPr>
        <w:pStyle w:val="NoSpacing"/>
        <w:ind w:left="720" w:hanging="720"/>
      </w:pPr>
      <w:r>
        <w:t>46</w:t>
      </w:r>
      <w:r w:rsidR="00F2151C">
        <w:tab/>
      </w:r>
      <w:r w:rsidR="00F860DC" w:rsidRPr="00F2151C">
        <w:t xml:space="preserve">We would value a clear </w:t>
      </w:r>
      <w:r w:rsidR="00263C5E">
        <w:t xml:space="preserve">formal </w:t>
      </w:r>
      <w:r w:rsidR="00F860DC" w:rsidRPr="00F2151C">
        <w:t xml:space="preserve">statement </w:t>
      </w:r>
      <w:r w:rsidR="004D638C">
        <w:t xml:space="preserve">(pre- budget) </w:t>
      </w:r>
      <w:r w:rsidR="00F860DC" w:rsidRPr="00F2151C">
        <w:t xml:space="preserve">from Government about how it plans to prioritise the spending of new </w:t>
      </w:r>
      <w:r w:rsidR="00F2151C">
        <w:t xml:space="preserve">budget </w:t>
      </w:r>
      <w:r w:rsidR="00F860DC" w:rsidRPr="00F2151C">
        <w:t>money, in short, what ranking vulnerable children will be given, relative to</w:t>
      </w:r>
      <w:r w:rsidR="008E6FEB">
        <w:t>, for example only, subsidies for</w:t>
      </w:r>
      <w:r w:rsidR="00F860DC" w:rsidRPr="00F2151C">
        <w:t xml:space="preserve"> new war memorials </w:t>
      </w:r>
      <w:r w:rsidR="006447E6">
        <w:t xml:space="preserve">? </w:t>
      </w:r>
      <w:r w:rsidR="004D30B5">
        <w:rPr>
          <w:rFonts w:ascii="Calibri" w:hAnsi="Calibri" w:cs="Calibri"/>
        </w:rPr>
        <w:t xml:space="preserve">We believe it is also prudent to investigate the Government spend </w:t>
      </w:r>
      <w:r w:rsidR="00F2151C">
        <w:rPr>
          <w:rFonts w:ascii="Calibri" w:hAnsi="Calibri" w:cs="Calibri"/>
        </w:rPr>
        <w:t>inside</w:t>
      </w:r>
      <w:r w:rsidR="00F860DC">
        <w:rPr>
          <w:rFonts w:ascii="Calibri" w:hAnsi="Calibri" w:cs="Calibri"/>
        </w:rPr>
        <w:t xml:space="preserve"> and </w:t>
      </w:r>
      <w:r w:rsidR="004D30B5">
        <w:rPr>
          <w:rFonts w:ascii="Calibri" w:hAnsi="Calibri" w:cs="Calibri"/>
        </w:rPr>
        <w:t>outside Vote Social</w:t>
      </w:r>
      <w:r w:rsidR="00F2151C">
        <w:rPr>
          <w:rFonts w:ascii="Calibri" w:hAnsi="Calibri" w:cs="Calibri"/>
        </w:rPr>
        <w:t xml:space="preserve"> </w:t>
      </w:r>
      <w:r w:rsidR="004D30B5">
        <w:rPr>
          <w:rFonts w:ascii="Calibri" w:hAnsi="Calibri" w:cs="Calibri"/>
        </w:rPr>
        <w:t>Development to see if expenditure is of higher value than the expected return on children</w:t>
      </w:r>
      <w:r w:rsidR="00F2151C">
        <w:rPr>
          <w:rFonts w:ascii="Calibri" w:hAnsi="Calibri" w:cs="Calibri"/>
        </w:rPr>
        <w:t xml:space="preserve"> </w:t>
      </w:r>
      <w:r w:rsidR="004D30B5">
        <w:rPr>
          <w:rFonts w:ascii="Calibri" w:hAnsi="Calibri" w:cs="Calibri"/>
        </w:rPr>
        <w:t>with vulnerabilities and their families</w:t>
      </w:r>
      <w:r w:rsidR="00F2151C">
        <w:rPr>
          <w:rFonts w:ascii="Calibri" w:hAnsi="Calibri" w:cs="Calibri"/>
        </w:rPr>
        <w:t xml:space="preserve">, e.g. the financial return on EFTS subsidy for provision at levels 1 to 4 is very low. </w:t>
      </w:r>
    </w:p>
    <w:p w:rsidR="004D30B5" w:rsidRDefault="004D30B5" w:rsidP="004D30B5">
      <w:pPr>
        <w:autoSpaceDE w:val="0"/>
        <w:autoSpaceDN w:val="0"/>
        <w:adjustRightInd w:val="0"/>
        <w:spacing w:after="0" w:line="240" w:lineRule="auto"/>
        <w:rPr>
          <w:rFonts w:ascii="Calibri" w:hAnsi="Calibri" w:cs="Calibri"/>
        </w:rPr>
      </w:pPr>
    </w:p>
    <w:p w:rsidR="0081710F" w:rsidRPr="002450E5" w:rsidRDefault="00C86FF4" w:rsidP="002450E5">
      <w:r>
        <w:t> </w:t>
      </w:r>
      <w:r w:rsidR="0081710F">
        <w:rPr>
          <w:lang w:val="en-US"/>
        </w:rPr>
        <w:t>Specifics Examples</w:t>
      </w:r>
    </w:p>
    <w:p w:rsidR="00A57B5B" w:rsidRDefault="00EA3F22" w:rsidP="004D638C">
      <w:pPr>
        <w:ind w:left="720" w:hanging="720"/>
        <w:rPr>
          <w:lang w:val="en-US"/>
        </w:rPr>
      </w:pPr>
      <w:r>
        <w:rPr>
          <w:lang w:val="en-US"/>
        </w:rPr>
        <w:t>47</w:t>
      </w:r>
      <w:r w:rsidR="0081710F">
        <w:rPr>
          <w:lang w:val="en-US"/>
        </w:rPr>
        <w:tab/>
      </w:r>
      <w:r w:rsidR="004D638C" w:rsidRPr="004D638C">
        <w:rPr>
          <w:rFonts w:cstheme="minorHAnsi"/>
        </w:rPr>
        <w:t>We are drawn towards thi</w:t>
      </w:r>
      <w:r w:rsidR="00402D33">
        <w:rPr>
          <w:rFonts w:cstheme="minorHAnsi"/>
        </w:rPr>
        <w:t>nking about policies that minimise</w:t>
      </w:r>
      <w:r w:rsidR="004D638C" w:rsidRPr="004D638C">
        <w:rPr>
          <w:rFonts w:cstheme="minorHAnsi"/>
        </w:rPr>
        <w:t xml:space="preserve"> child poverty without reducing economic growth, have low deadweight costs and</w:t>
      </w:r>
      <w:r w:rsidR="004D638C">
        <w:rPr>
          <w:rFonts w:cstheme="minorHAnsi"/>
        </w:rPr>
        <w:t xml:space="preserve"> create positive incentives to seek and maintain employment</w:t>
      </w:r>
      <w:r w:rsidR="003F7005">
        <w:rPr>
          <w:rFonts w:cstheme="minorHAnsi"/>
        </w:rPr>
        <w:t xml:space="preserve"> over time</w:t>
      </w:r>
      <w:r w:rsidR="004D638C" w:rsidRPr="004D638C">
        <w:rPr>
          <w:rFonts w:cstheme="minorHAnsi"/>
        </w:rPr>
        <w:t>.</w:t>
      </w:r>
      <w:r w:rsidR="004D638C">
        <w:rPr>
          <w:rFonts w:cstheme="minorHAnsi"/>
        </w:rPr>
        <w:t xml:space="preserve"> </w:t>
      </w:r>
      <w:r w:rsidR="004D638C" w:rsidRPr="004D638C">
        <w:rPr>
          <w:rFonts w:cstheme="minorHAnsi"/>
        </w:rPr>
        <w:t xml:space="preserve"> </w:t>
      </w:r>
      <w:r w:rsidR="004D638C">
        <w:rPr>
          <w:lang w:val="en-US"/>
        </w:rPr>
        <w:t xml:space="preserve">The </w:t>
      </w:r>
      <w:r w:rsidR="00597944">
        <w:rPr>
          <w:lang w:val="en-US"/>
        </w:rPr>
        <w:t xml:space="preserve">AEG </w:t>
      </w:r>
      <w:r w:rsidR="004D638C">
        <w:rPr>
          <w:lang w:val="en-US"/>
        </w:rPr>
        <w:t xml:space="preserve">report covers a wide range of possible uncosted </w:t>
      </w:r>
      <w:r w:rsidR="003F7005">
        <w:rPr>
          <w:lang w:val="en-US"/>
        </w:rPr>
        <w:t xml:space="preserve">recommendations which makes </w:t>
      </w:r>
      <w:r w:rsidR="00732AEB">
        <w:rPr>
          <w:lang w:val="en-US"/>
        </w:rPr>
        <w:t xml:space="preserve">cost/benefit </w:t>
      </w:r>
      <w:r w:rsidR="003F7005">
        <w:rPr>
          <w:lang w:val="en-US"/>
        </w:rPr>
        <w:t>analysis</w:t>
      </w:r>
      <w:r w:rsidR="00AA7B4A">
        <w:rPr>
          <w:lang w:val="en-US"/>
        </w:rPr>
        <w:t xml:space="preserve"> </w:t>
      </w:r>
      <w:r w:rsidR="006D0A92">
        <w:rPr>
          <w:lang w:val="en-US"/>
        </w:rPr>
        <w:t xml:space="preserve">very </w:t>
      </w:r>
      <w:r w:rsidR="00AA7B4A">
        <w:rPr>
          <w:lang w:val="en-US"/>
        </w:rPr>
        <w:t>difficult</w:t>
      </w:r>
      <w:r w:rsidR="006447E6">
        <w:rPr>
          <w:lang w:val="en-US"/>
        </w:rPr>
        <w:t>;</w:t>
      </w:r>
      <w:r w:rsidR="00732AEB">
        <w:rPr>
          <w:lang w:val="en-US"/>
        </w:rPr>
        <w:t xml:space="preserve"> however </w:t>
      </w:r>
      <w:r w:rsidR="003F7005">
        <w:rPr>
          <w:lang w:val="en-US"/>
        </w:rPr>
        <w:t xml:space="preserve">we offer the following </w:t>
      </w:r>
      <w:r w:rsidR="0014107A">
        <w:rPr>
          <w:lang w:val="en-US"/>
        </w:rPr>
        <w:t>discussion</w:t>
      </w:r>
      <w:r w:rsidR="00110F09">
        <w:rPr>
          <w:lang w:val="en-US"/>
        </w:rPr>
        <w:t xml:space="preserve"> on</w:t>
      </w:r>
      <w:r w:rsidR="003F7005">
        <w:rPr>
          <w:lang w:val="en-US"/>
        </w:rPr>
        <w:t xml:space="preserve">: </w:t>
      </w:r>
    </w:p>
    <w:p w:rsidR="00A57B5B" w:rsidRPr="00A57B5B" w:rsidRDefault="003F7005" w:rsidP="003866C7">
      <w:pPr>
        <w:pStyle w:val="ListParagraph"/>
        <w:numPr>
          <w:ilvl w:val="0"/>
          <w:numId w:val="8"/>
        </w:numPr>
        <w:rPr>
          <w:rFonts w:cstheme="minorHAnsi"/>
        </w:rPr>
      </w:pPr>
      <w:r w:rsidRPr="00A57B5B">
        <w:rPr>
          <w:lang w:val="en-US"/>
        </w:rPr>
        <w:t>teenage pregnancy</w:t>
      </w:r>
      <w:r w:rsidR="006D017B">
        <w:rPr>
          <w:lang w:val="en-US"/>
        </w:rPr>
        <w:t>/solo parents</w:t>
      </w:r>
      <w:r w:rsidRPr="00A57B5B">
        <w:rPr>
          <w:lang w:val="en-US"/>
        </w:rPr>
        <w:t xml:space="preserve">; </w:t>
      </w:r>
    </w:p>
    <w:p w:rsidR="00A57B5B" w:rsidRPr="00A57B5B" w:rsidRDefault="00A57B5B" w:rsidP="003866C7">
      <w:pPr>
        <w:pStyle w:val="ListParagraph"/>
        <w:numPr>
          <w:ilvl w:val="0"/>
          <w:numId w:val="8"/>
        </w:numPr>
        <w:rPr>
          <w:rFonts w:cstheme="minorHAnsi"/>
        </w:rPr>
      </w:pPr>
      <w:r w:rsidRPr="00A57B5B">
        <w:rPr>
          <w:lang w:val="en-US"/>
        </w:rPr>
        <w:lastRenderedPageBreak/>
        <w:t>deb</w:t>
      </w:r>
      <w:r w:rsidR="00AD6E00">
        <w:rPr>
          <w:lang w:val="en-US"/>
        </w:rPr>
        <w:t xml:space="preserve">t for vulnerable families ; </w:t>
      </w:r>
    </w:p>
    <w:p w:rsidR="0081710F" w:rsidRPr="00AD6E00" w:rsidRDefault="00597944" w:rsidP="003866C7">
      <w:pPr>
        <w:pStyle w:val="ListParagraph"/>
        <w:numPr>
          <w:ilvl w:val="0"/>
          <w:numId w:val="8"/>
        </w:numPr>
        <w:rPr>
          <w:rFonts w:cstheme="minorHAnsi"/>
        </w:rPr>
      </w:pPr>
      <w:r w:rsidRPr="00A57B5B">
        <w:rPr>
          <w:lang w:val="en-US"/>
        </w:rPr>
        <w:t>subsidis</w:t>
      </w:r>
      <w:r w:rsidR="003F7005" w:rsidRPr="00A57B5B">
        <w:rPr>
          <w:lang w:val="en-US"/>
        </w:rPr>
        <w:t xml:space="preserve">ed breakfasts at </w:t>
      </w:r>
      <w:r w:rsidR="002450E5">
        <w:rPr>
          <w:lang w:val="en-US"/>
        </w:rPr>
        <w:t xml:space="preserve">early child providers and </w:t>
      </w:r>
      <w:r w:rsidR="00AD6E00">
        <w:rPr>
          <w:lang w:val="en-US"/>
        </w:rPr>
        <w:t>schools; and</w:t>
      </w:r>
    </w:p>
    <w:p w:rsidR="00AD6E00" w:rsidRPr="00AD6E00" w:rsidRDefault="00AD6E00" w:rsidP="00AD6E00">
      <w:pPr>
        <w:pStyle w:val="ListParagraph"/>
        <w:numPr>
          <w:ilvl w:val="0"/>
          <w:numId w:val="8"/>
        </w:numPr>
        <w:rPr>
          <w:rFonts w:cstheme="minorHAnsi"/>
        </w:rPr>
      </w:pPr>
      <w:r>
        <w:rPr>
          <w:rFonts w:cstheme="minorHAnsi"/>
        </w:rPr>
        <w:t>s</w:t>
      </w:r>
      <w:r w:rsidRPr="00AD6E00">
        <w:rPr>
          <w:rFonts w:cstheme="minorHAnsi"/>
        </w:rPr>
        <w:t xml:space="preserve">upply of low cost </w:t>
      </w:r>
      <w:r w:rsidR="00365B54">
        <w:rPr>
          <w:rFonts w:cstheme="minorHAnsi"/>
        </w:rPr>
        <w:t xml:space="preserve">quality </w:t>
      </w:r>
      <w:r w:rsidRPr="00AD6E00">
        <w:rPr>
          <w:rFonts w:cstheme="minorHAnsi"/>
        </w:rPr>
        <w:t xml:space="preserve">housing and warrant of fitness standards for rental </w:t>
      </w:r>
      <w:r w:rsidR="001053C7" w:rsidRPr="00AD6E00">
        <w:rPr>
          <w:rFonts w:cstheme="minorHAnsi"/>
        </w:rPr>
        <w:t>dwelling</w:t>
      </w:r>
      <w:r w:rsidR="001053C7">
        <w:rPr>
          <w:rFonts w:cstheme="minorHAnsi"/>
        </w:rPr>
        <w:t>s</w:t>
      </w:r>
      <w:r w:rsidR="001053C7" w:rsidRPr="00AD6E00">
        <w:rPr>
          <w:rFonts w:cstheme="minorHAnsi"/>
        </w:rPr>
        <w:t>.</w:t>
      </w:r>
    </w:p>
    <w:p w:rsidR="00AD6E00" w:rsidRPr="00A57B5B" w:rsidRDefault="00AD6E00" w:rsidP="00AD6E00">
      <w:pPr>
        <w:pStyle w:val="ListParagraph"/>
        <w:ind w:left="1080"/>
        <w:rPr>
          <w:rFonts w:cstheme="minorHAnsi"/>
        </w:rPr>
      </w:pPr>
    </w:p>
    <w:p w:rsidR="0059605D" w:rsidRDefault="0059605D" w:rsidP="00C051E5">
      <w:pPr>
        <w:pStyle w:val="NoSpacing"/>
        <w:rPr>
          <w:u w:val="single"/>
          <w:lang w:val="en-US"/>
        </w:rPr>
      </w:pPr>
    </w:p>
    <w:p w:rsidR="00683F16" w:rsidRPr="00581B49" w:rsidRDefault="00683F16" w:rsidP="00683F16">
      <w:pPr>
        <w:pStyle w:val="NoSpacing"/>
        <w:ind w:firstLine="720"/>
        <w:rPr>
          <w:u w:val="single"/>
          <w:lang w:val="en-US"/>
        </w:rPr>
      </w:pPr>
      <w:r w:rsidRPr="00581B49">
        <w:rPr>
          <w:u w:val="single"/>
          <w:lang w:val="en-US"/>
        </w:rPr>
        <w:t>Teenage pregnancy/solo parents</w:t>
      </w:r>
    </w:p>
    <w:p w:rsidR="00683F16" w:rsidRDefault="00683F16" w:rsidP="00683F16">
      <w:pPr>
        <w:pStyle w:val="NoSpacing"/>
        <w:rPr>
          <w:lang w:val="en-US"/>
        </w:rPr>
      </w:pPr>
    </w:p>
    <w:p w:rsidR="00CF1356" w:rsidRDefault="00EA3F22" w:rsidP="00CF1356">
      <w:pPr>
        <w:pStyle w:val="NoSpacing"/>
        <w:ind w:left="720" w:hanging="720"/>
      </w:pPr>
      <w:r>
        <w:rPr>
          <w:lang w:val="en-US"/>
        </w:rPr>
        <w:t>48</w:t>
      </w:r>
      <w:r w:rsidR="003F7005">
        <w:rPr>
          <w:lang w:val="en-US"/>
        </w:rPr>
        <w:tab/>
      </w:r>
      <w:r w:rsidR="006447E6">
        <w:t xml:space="preserve">Some </w:t>
      </w:r>
      <w:r w:rsidR="006447E6" w:rsidRPr="006447E6">
        <w:rPr>
          <w:rFonts w:cstheme="minorHAnsi"/>
        </w:rPr>
        <w:t>22.2</w:t>
      </w:r>
      <w:r w:rsidR="00CF1356">
        <w:rPr>
          <w:rFonts w:cstheme="minorHAnsi"/>
        </w:rPr>
        <w:t xml:space="preserve"> per cent of babies born in 2011</w:t>
      </w:r>
      <w:r w:rsidR="006447E6" w:rsidRPr="006447E6">
        <w:rPr>
          <w:rFonts w:cstheme="minorHAnsi"/>
        </w:rPr>
        <w:t xml:space="preserve"> were dependent on a caregiver receiving a benefit by the end of the same year</w:t>
      </w:r>
      <w:r w:rsidR="00CF1356">
        <w:rPr>
          <w:rFonts w:cstheme="minorHAnsi"/>
        </w:rPr>
        <w:t>, almost</w:t>
      </w:r>
      <w:r w:rsidR="006447E6" w:rsidRPr="006447E6">
        <w:rPr>
          <w:rFonts w:cstheme="minorHAnsi"/>
        </w:rPr>
        <w:t xml:space="preserve"> half of the caregivers were Maori an</w:t>
      </w:r>
      <w:r w:rsidR="00CF1356">
        <w:rPr>
          <w:rFonts w:cstheme="minorHAnsi"/>
        </w:rPr>
        <w:t>d half were aged 24 years or younger</w:t>
      </w:r>
      <w:r w:rsidR="004418BB">
        <w:rPr>
          <w:rFonts w:cstheme="minorHAnsi"/>
        </w:rPr>
        <w:t xml:space="preserve"> </w:t>
      </w:r>
      <w:r w:rsidR="004418BB">
        <w:t>(M</w:t>
      </w:r>
      <w:r w:rsidR="005D64C5">
        <w:t xml:space="preserve">inistry of </w:t>
      </w:r>
      <w:r w:rsidR="004418BB">
        <w:t>S</w:t>
      </w:r>
      <w:r w:rsidR="005D64C5">
        <w:t xml:space="preserve">ocial </w:t>
      </w:r>
      <w:r w:rsidR="004418BB">
        <w:t>D</w:t>
      </w:r>
      <w:r w:rsidR="005D64C5">
        <w:t>evelopment</w:t>
      </w:r>
      <w:r w:rsidR="004418BB">
        <w:t>, OIA request, 2012).</w:t>
      </w:r>
      <w:r w:rsidR="006447E6" w:rsidRPr="006447E6">
        <w:t xml:space="preserve"> </w:t>
      </w:r>
      <w:r w:rsidR="00CF1356">
        <w:t xml:space="preserve"> In short, </w:t>
      </w:r>
      <w:r w:rsidR="004418BB">
        <w:t xml:space="preserve">almost a quarter of babies are </w:t>
      </w:r>
      <w:r w:rsidR="00CF1356">
        <w:t>born into</w:t>
      </w:r>
      <w:r w:rsidR="008A468B">
        <w:t xml:space="preserve"> relative</w:t>
      </w:r>
      <w:r w:rsidR="00CF1356">
        <w:t xml:space="preserve"> poverty </w:t>
      </w:r>
      <w:r w:rsidR="00BD318A">
        <w:t xml:space="preserve">each year </w:t>
      </w:r>
      <w:r w:rsidR="00CF1356">
        <w:t xml:space="preserve">with a unique subset of </w:t>
      </w:r>
      <w:r w:rsidR="004418BB">
        <w:t xml:space="preserve">significant </w:t>
      </w:r>
      <w:r w:rsidR="00CF1356">
        <w:t>challenges</w:t>
      </w:r>
      <w:r w:rsidR="0001331F">
        <w:t xml:space="preserve"> ahead.</w:t>
      </w:r>
    </w:p>
    <w:p w:rsidR="00CF1356" w:rsidRDefault="00CF1356" w:rsidP="00CF1356">
      <w:pPr>
        <w:pStyle w:val="NoSpacing"/>
        <w:ind w:left="720" w:hanging="720"/>
      </w:pPr>
    </w:p>
    <w:p w:rsidR="00CF1356" w:rsidRDefault="00EA3F22" w:rsidP="00CF1356">
      <w:pPr>
        <w:pStyle w:val="NoSpacing"/>
        <w:ind w:left="720" w:hanging="720"/>
      </w:pPr>
      <w:r>
        <w:t>49</w:t>
      </w:r>
      <w:r w:rsidR="00CF1356">
        <w:tab/>
      </w:r>
      <w:r w:rsidR="006447E6">
        <w:t>An assessment of the issues surrounding unplanned pregnancy and the associated costs including the impact on children over time is very useful to illustrate the complexity of human decision-making, the diversity of incentives and environmental factors on behaviour and the potential value of universal provision</w:t>
      </w:r>
      <w:r w:rsidR="00CF1356">
        <w:t xml:space="preserve"> in some circumstances</w:t>
      </w:r>
      <w:r w:rsidR="006447E6">
        <w:t xml:space="preserve">. </w:t>
      </w:r>
    </w:p>
    <w:p w:rsidR="006D017B" w:rsidRDefault="006D017B" w:rsidP="00683F16">
      <w:pPr>
        <w:pStyle w:val="NoSpacing"/>
      </w:pPr>
    </w:p>
    <w:p w:rsidR="006447E6" w:rsidRDefault="00EA3F22" w:rsidP="00CF1356">
      <w:pPr>
        <w:pStyle w:val="NoSpacing"/>
        <w:ind w:left="720" w:hanging="720"/>
      </w:pPr>
      <w:r>
        <w:t>50</w:t>
      </w:r>
      <w:r w:rsidR="00CF1356">
        <w:tab/>
      </w:r>
      <w:r w:rsidR="006447E6">
        <w:t xml:space="preserve">Some women/girls get pregnant without reasonable planning and </w:t>
      </w:r>
      <w:r w:rsidR="006447E6" w:rsidRPr="00CF1356">
        <w:t xml:space="preserve">their </w:t>
      </w:r>
      <w:r w:rsidR="006447E6">
        <w:t xml:space="preserve">support networks/family and/or partner may have a limited knowledge and/or skills to effectively support the baby and mother; the </w:t>
      </w:r>
      <w:r w:rsidR="00CF1356">
        <w:t xml:space="preserve">following illustrates </w:t>
      </w:r>
      <w:r w:rsidR="006447E6">
        <w:t xml:space="preserve">the drivers and circumstances: </w:t>
      </w:r>
    </w:p>
    <w:p w:rsidR="00CF1356" w:rsidRDefault="00CF1356" w:rsidP="006447E6">
      <w:pPr>
        <w:pStyle w:val="NoSpacing"/>
      </w:pPr>
    </w:p>
    <w:p w:rsidR="006447E6" w:rsidRPr="00CF1356" w:rsidRDefault="006447E6" w:rsidP="003866C7">
      <w:pPr>
        <w:pStyle w:val="NoSpacing"/>
        <w:numPr>
          <w:ilvl w:val="0"/>
          <w:numId w:val="6"/>
        </w:numPr>
      </w:pPr>
      <w:r w:rsidRPr="00CF1356">
        <w:rPr>
          <w:lang w:val="en-US"/>
        </w:rPr>
        <w:t xml:space="preserve">contraception takes planning and forethought, and not much of that is present when you are drunk or out of it; </w:t>
      </w:r>
    </w:p>
    <w:p w:rsidR="006447E6" w:rsidRPr="00CF1356" w:rsidRDefault="006447E6" w:rsidP="003866C7">
      <w:pPr>
        <w:pStyle w:val="NoSpacing"/>
        <w:numPr>
          <w:ilvl w:val="0"/>
          <w:numId w:val="6"/>
        </w:numPr>
      </w:pPr>
      <w:r w:rsidRPr="00CF1356">
        <w:t>teenagers often take risks and having sex without thought of the consequences is just one of many that the average teenage may take</w:t>
      </w:r>
      <w:r w:rsidRPr="00CF1356">
        <w:rPr>
          <w:rFonts w:ascii="Calibri" w:hAnsi="Calibri" w:cs="Calibri"/>
        </w:rPr>
        <w:t>;</w:t>
      </w:r>
    </w:p>
    <w:p w:rsidR="006447E6" w:rsidRPr="00CF1356" w:rsidRDefault="006447E6" w:rsidP="003866C7">
      <w:pPr>
        <w:pStyle w:val="NoSpacing"/>
        <w:numPr>
          <w:ilvl w:val="0"/>
          <w:numId w:val="6"/>
        </w:numPr>
      </w:pPr>
      <w:r w:rsidRPr="00CF1356">
        <w:rPr>
          <w:lang w:val="en-US"/>
        </w:rPr>
        <w:t xml:space="preserve">others have a deep seated need to be loved unconditionally and a belief that a baby will provide that; </w:t>
      </w:r>
    </w:p>
    <w:p w:rsidR="006447E6" w:rsidRPr="00CF1356" w:rsidRDefault="006447E6" w:rsidP="003866C7">
      <w:pPr>
        <w:pStyle w:val="NoSpacing"/>
        <w:numPr>
          <w:ilvl w:val="0"/>
          <w:numId w:val="6"/>
        </w:numPr>
      </w:pPr>
      <w:r w:rsidRPr="00CF1356">
        <w:rPr>
          <w:lang w:val="en-US"/>
        </w:rPr>
        <w:t>some live ‘accidental’ lives as in whatever happens, happens and you just go with the flow, with little sense that they have a role to play in ‘controlling’ their lives;</w:t>
      </w:r>
    </w:p>
    <w:p w:rsidR="006447E6" w:rsidRPr="00CF1356" w:rsidRDefault="006447E6" w:rsidP="003866C7">
      <w:pPr>
        <w:pStyle w:val="NoSpacing"/>
        <w:numPr>
          <w:ilvl w:val="0"/>
          <w:numId w:val="6"/>
        </w:numPr>
      </w:pPr>
      <w:r w:rsidRPr="00CF1356">
        <w:rPr>
          <w:lang w:val="en-US"/>
        </w:rPr>
        <w:t>others see pregnancy as a lifestyle option, with a sense of being valued for being a mother and carer</w:t>
      </w:r>
    </w:p>
    <w:p w:rsidR="006447E6" w:rsidRPr="00CF1356" w:rsidRDefault="006447E6" w:rsidP="003866C7">
      <w:pPr>
        <w:pStyle w:val="NoSpacing"/>
        <w:numPr>
          <w:ilvl w:val="0"/>
          <w:numId w:val="6"/>
        </w:numPr>
      </w:pPr>
      <w:r w:rsidRPr="00CF1356">
        <w:rPr>
          <w:lang w:val="en-US"/>
        </w:rPr>
        <w:t>pregnancy can also be a result of abusive situations (</w:t>
      </w:r>
      <w:r w:rsidR="00386E2C">
        <w:rPr>
          <w:lang w:val="en-US"/>
        </w:rPr>
        <w:t>i.e.</w:t>
      </w:r>
      <w:r w:rsidRPr="00CF1356">
        <w:rPr>
          <w:lang w:val="en-US"/>
        </w:rPr>
        <w:t xml:space="preserve"> rape and coercive sex)</w:t>
      </w:r>
      <w:r w:rsidR="00BB34AF">
        <w:rPr>
          <w:lang w:val="en-US"/>
        </w:rPr>
        <w:t>; and</w:t>
      </w:r>
    </w:p>
    <w:p w:rsidR="006447E6" w:rsidRPr="00CF1356" w:rsidRDefault="006447E6" w:rsidP="003866C7">
      <w:pPr>
        <w:pStyle w:val="NoSpacing"/>
        <w:numPr>
          <w:ilvl w:val="0"/>
          <w:numId w:val="6"/>
        </w:numPr>
      </w:pPr>
      <w:r w:rsidRPr="00CF1356">
        <w:rPr>
          <w:lang w:val="en-US"/>
        </w:rPr>
        <w:t>pregnancy can result from someone else’s desire i.e. the effort to please or maintain a relationship.</w:t>
      </w:r>
    </w:p>
    <w:p w:rsidR="006447E6" w:rsidRDefault="006447E6" w:rsidP="006447E6">
      <w:pPr>
        <w:pStyle w:val="NoSpacing"/>
      </w:pPr>
    </w:p>
    <w:p w:rsidR="009A3183" w:rsidRDefault="00EA3F22" w:rsidP="005300C4">
      <w:pPr>
        <w:pStyle w:val="NoSpacing"/>
        <w:ind w:left="720" w:hanging="720"/>
      </w:pPr>
      <w:r>
        <w:t>51</w:t>
      </w:r>
      <w:r w:rsidR="006447E6">
        <w:tab/>
        <w:t xml:space="preserve">Clearly the above is a complex mix of environments and incentives and presents difficult public policy questions. </w:t>
      </w:r>
      <w:r w:rsidR="009A3183">
        <w:t xml:space="preserve"> However, we believe there is value in reviewing the current mix of family planning advice</w:t>
      </w:r>
      <w:r w:rsidR="00397E5B">
        <w:t>/support</w:t>
      </w:r>
      <w:r w:rsidR="009A3183">
        <w:t xml:space="preserve"> provided for at risks teenagers, as access to and the price of </w:t>
      </w:r>
      <w:r w:rsidR="009A3183" w:rsidRPr="00CF1356">
        <w:rPr>
          <w:lang w:val="en-US"/>
        </w:rPr>
        <w:t>contraception</w:t>
      </w:r>
      <w:r w:rsidR="009A3183">
        <w:rPr>
          <w:lang w:val="en-US"/>
        </w:rPr>
        <w:t xml:space="preserve"> do not seem to be significant factors. </w:t>
      </w:r>
    </w:p>
    <w:p w:rsidR="009A3183" w:rsidRDefault="009A3183" w:rsidP="005300C4">
      <w:pPr>
        <w:pStyle w:val="NoSpacing"/>
        <w:ind w:left="720" w:hanging="720"/>
      </w:pPr>
    </w:p>
    <w:p w:rsidR="006447E6" w:rsidRDefault="00EA3F22" w:rsidP="005300C4">
      <w:pPr>
        <w:pStyle w:val="NoSpacing"/>
        <w:ind w:left="720" w:hanging="720"/>
        <w:rPr>
          <w:lang w:val="en-US"/>
        </w:rPr>
      </w:pPr>
      <w:r>
        <w:t>52</w:t>
      </w:r>
      <w:r w:rsidR="009A3183">
        <w:tab/>
        <w:t xml:space="preserve">Further </w:t>
      </w:r>
      <w:r w:rsidR="006447E6">
        <w:t xml:space="preserve">a better understanding by </w:t>
      </w:r>
      <w:r w:rsidR="006447E6">
        <w:rPr>
          <w:u w:val="single"/>
        </w:rPr>
        <w:t>all</w:t>
      </w:r>
      <w:r w:rsidR="006447E6">
        <w:t xml:space="preserve"> New Zealanders of what drives successful child development i.e. what do children actually need to thrive</w:t>
      </w:r>
      <w:r w:rsidR="006447E6" w:rsidRPr="00CF1356">
        <w:t>,</w:t>
      </w:r>
      <w:r w:rsidR="006447E6" w:rsidRPr="000B2EDB">
        <w:rPr>
          <w:color w:val="FF0000"/>
        </w:rPr>
        <w:t xml:space="preserve"> </w:t>
      </w:r>
      <w:r w:rsidR="006447E6">
        <w:t xml:space="preserve">is critical.  A </w:t>
      </w:r>
      <w:r w:rsidR="00CF1356">
        <w:t xml:space="preserve">current </w:t>
      </w:r>
      <w:r w:rsidR="006447E6" w:rsidRPr="00CF1356">
        <w:rPr>
          <w:color w:val="000000" w:themeColor="text1"/>
        </w:rPr>
        <w:t xml:space="preserve">DIY </w:t>
      </w:r>
      <w:r w:rsidR="006447E6">
        <w:t>approach to parenting and child rearing isn’t the answer and we need to normalise parenting education and not let it be seen as only somethin</w:t>
      </w:r>
      <w:r w:rsidR="00CF1356">
        <w:t xml:space="preserve">g for “weak” or “poor” parents, </w:t>
      </w:r>
      <w:r w:rsidR="006447E6">
        <w:t xml:space="preserve">with the simple message of </w:t>
      </w:r>
      <w:r w:rsidR="006447E6">
        <w:rPr>
          <w:lang w:val="en-US"/>
        </w:rPr>
        <w:t>letting everyone know parenting is hard work but enjoyable if you have realistic expectations.</w:t>
      </w:r>
    </w:p>
    <w:p w:rsidR="005300C4" w:rsidRPr="005300C4" w:rsidRDefault="005300C4" w:rsidP="005300C4">
      <w:pPr>
        <w:pStyle w:val="NoSpacing"/>
        <w:ind w:left="720" w:hanging="720"/>
      </w:pPr>
    </w:p>
    <w:p w:rsidR="006447E6" w:rsidRPr="00DA6F42" w:rsidRDefault="00EA3F22" w:rsidP="00DA6F42">
      <w:pPr>
        <w:autoSpaceDE w:val="0"/>
        <w:autoSpaceDN w:val="0"/>
        <w:adjustRightInd w:val="0"/>
        <w:spacing w:after="0" w:line="240" w:lineRule="auto"/>
        <w:ind w:left="720" w:hanging="720"/>
        <w:rPr>
          <w:rFonts w:cstheme="minorHAnsi"/>
          <w:bCs/>
        </w:rPr>
      </w:pPr>
      <w:r>
        <w:t>53</w:t>
      </w:r>
      <w:r w:rsidR="00CF1356" w:rsidRPr="00DA6F42">
        <w:tab/>
        <w:t xml:space="preserve">There is </w:t>
      </w:r>
      <w:r w:rsidR="00E96998">
        <w:t xml:space="preserve">limited research with control groups </w:t>
      </w:r>
      <w:r w:rsidR="00DA6F42">
        <w:t xml:space="preserve">on </w:t>
      </w:r>
      <w:r w:rsidR="006447E6">
        <w:t>the drivers and po</w:t>
      </w:r>
      <w:r w:rsidR="00DA6F42">
        <w:t>licy response to teen pregnancy</w:t>
      </w:r>
      <w:r w:rsidR="006447E6">
        <w:t xml:space="preserve">, however, </w:t>
      </w:r>
      <w:r w:rsidR="005300C4">
        <w:t>two</w:t>
      </w:r>
      <w:r w:rsidR="00DA6F42">
        <w:t xml:space="preserve"> policies</w:t>
      </w:r>
      <w:r w:rsidR="005300C4">
        <w:t xml:space="preserve"> </w:t>
      </w:r>
      <w:r w:rsidR="00D1302D">
        <w:t xml:space="preserve">in the USA </w:t>
      </w:r>
      <w:r w:rsidR="005300C4">
        <w:t>i.e</w:t>
      </w:r>
      <w:r w:rsidR="00DA6F42">
        <w:t xml:space="preserve">. </w:t>
      </w:r>
      <w:r w:rsidR="006447E6">
        <w:t xml:space="preserve">expanded family planning assistance to </w:t>
      </w:r>
      <w:r w:rsidR="005300C4">
        <w:t xml:space="preserve">low income </w:t>
      </w:r>
      <w:r w:rsidR="006447E6">
        <w:t xml:space="preserve">women </w:t>
      </w:r>
      <w:r w:rsidR="00DA6F42">
        <w:t xml:space="preserve">and reduced welfare benefits </w:t>
      </w:r>
      <w:r w:rsidR="006447E6">
        <w:t xml:space="preserve">did seem to matter and accounted for about </w:t>
      </w:r>
      <w:r w:rsidR="006447E6">
        <w:lastRenderedPageBreak/>
        <w:t>12 per</w:t>
      </w:r>
      <w:r w:rsidR="005300C4">
        <w:t xml:space="preserve"> </w:t>
      </w:r>
      <w:r w:rsidR="006447E6">
        <w:t>cent of th</w:t>
      </w:r>
      <w:r w:rsidR="002746D6">
        <w:t>e drop in teen childbearing. This outcome is</w:t>
      </w:r>
      <w:r w:rsidR="006447E6">
        <w:t xml:space="preserve"> framed as being a small im</w:t>
      </w:r>
      <w:r w:rsidR="006359A7">
        <w:t>pact, but it is</w:t>
      </w:r>
      <w:r w:rsidR="006447E6">
        <w:t xml:space="preserve"> the only combination found that had </w:t>
      </w:r>
      <w:r w:rsidR="006447E6" w:rsidRPr="00E96998">
        <w:rPr>
          <w:u w:val="single"/>
        </w:rPr>
        <w:t>any</w:t>
      </w:r>
      <w:r w:rsidR="006447E6" w:rsidRPr="00DA6F42">
        <w:t xml:space="preserve"> </w:t>
      </w:r>
      <w:r w:rsidR="00DA6F42">
        <w:t xml:space="preserve">effect, see </w:t>
      </w:r>
      <w:r w:rsidR="00DA6F42" w:rsidRPr="005300C4">
        <w:rPr>
          <w:rFonts w:cstheme="minorHAnsi"/>
          <w:bCs/>
          <w:i/>
        </w:rPr>
        <w:t>Why is the Teen Birth Rate in the United States So High and Why Does It Matter?</w:t>
      </w:r>
      <w:r w:rsidR="00DA6F42">
        <w:rPr>
          <w:rFonts w:cstheme="minorHAnsi"/>
          <w:bCs/>
        </w:rPr>
        <w:t xml:space="preserve">, </w:t>
      </w:r>
      <w:r w:rsidR="00DA6F42" w:rsidRPr="00DA6F42">
        <w:rPr>
          <w:rFonts w:cstheme="minorHAnsi"/>
          <w:iCs/>
        </w:rPr>
        <w:t>J</w:t>
      </w:r>
      <w:r w:rsidR="00DA6F42">
        <w:rPr>
          <w:rFonts w:cstheme="minorHAnsi"/>
          <w:iCs/>
        </w:rPr>
        <w:t xml:space="preserve">ournal of Economic Perspective, Volume 26, Number 2, Spring 2012, </w:t>
      </w:r>
      <w:r w:rsidR="00DA6F42" w:rsidRPr="00DA6F42">
        <w:rPr>
          <w:rFonts w:cstheme="minorHAnsi"/>
          <w:iCs/>
        </w:rPr>
        <w:t>Pages 141–166</w:t>
      </w:r>
      <w:r w:rsidR="00DA6F42">
        <w:rPr>
          <w:rFonts w:cstheme="minorHAnsi"/>
          <w:iCs/>
        </w:rPr>
        <w:t>. I</w:t>
      </w:r>
      <w:r w:rsidR="006447E6">
        <w:t xml:space="preserve">t's also the policy combination that the </w:t>
      </w:r>
      <w:r w:rsidR="00DA6F42">
        <w:t>New Zealand Government</w:t>
      </w:r>
      <w:r w:rsidR="006447E6">
        <w:t xml:space="preserve"> is </w:t>
      </w:r>
      <w:r w:rsidR="005300C4">
        <w:t xml:space="preserve">currently </w:t>
      </w:r>
      <w:r w:rsidR="006447E6">
        <w:t>running:</w:t>
      </w:r>
      <w:r w:rsidR="006447E6">
        <w:rPr>
          <w:color w:val="1F497D"/>
        </w:rPr>
        <w:t xml:space="preserve"> </w:t>
      </w:r>
      <w:r w:rsidR="006447E6">
        <w:t>tighter work requirements for those with young children and enhanced access to contraception</w:t>
      </w:r>
      <w:r w:rsidR="006447E6">
        <w:rPr>
          <w:color w:val="1F497D"/>
        </w:rPr>
        <w:t>.</w:t>
      </w:r>
    </w:p>
    <w:p w:rsidR="00DA6F42" w:rsidRDefault="00EA3F22" w:rsidP="005300C4">
      <w:pPr>
        <w:pStyle w:val="NormalWeb"/>
        <w:ind w:left="720" w:hanging="720"/>
        <w:rPr>
          <w:rFonts w:asciiTheme="minorHAnsi" w:hAnsiTheme="minorHAnsi" w:cstheme="minorHAnsi"/>
          <w:sz w:val="22"/>
          <w:szCs w:val="22"/>
        </w:rPr>
      </w:pPr>
      <w:r>
        <w:rPr>
          <w:rFonts w:asciiTheme="minorHAnsi" w:hAnsiTheme="minorHAnsi" w:cstheme="minorHAnsi"/>
          <w:sz w:val="22"/>
          <w:szCs w:val="22"/>
        </w:rPr>
        <w:t>54</w:t>
      </w:r>
      <w:r w:rsidR="005300C4">
        <w:rPr>
          <w:rFonts w:asciiTheme="minorHAnsi" w:hAnsiTheme="minorHAnsi" w:cstheme="minorHAnsi"/>
          <w:sz w:val="22"/>
          <w:szCs w:val="22"/>
        </w:rPr>
        <w:tab/>
      </w:r>
      <w:r w:rsidR="006447E6" w:rsidRPr="00DA6F42">
        <w:rPr>
          <w:rFonts w:asciiTheme="minorHAnsi" w:hAnsiTheme="minorHAnsi" w:cstheme="minorHAnsi"/>
          <w:sz w:val="22"/>
          <w:szCs w:val="22"/>
        </w:rPr>
        <w:t xml:space="preserve">The Families Commission (FC) has just released </w:t>
      </w:r>
      <w:r w:rsidR="006447E6" w:rsidRPr="00DA6F42">
        <w:rPr>
          <w:rFonts w:asciiTheme="minorHAnsi" w:hAnsiTheme="minorHAnsi" w:cstheme="minorHAnsi"/>
          <w:sz w:val="22"/>
          <w:szCs w:val="22"/>
          <w:lang w:val="en"/>
        </w:rPr>
        <w:t>research looking at the factors that would prevent subsequent births to teenage parents and analysed the implications and motivations of first and subsequent pregnancies and considered ways to strengthen support for prevent</w:t>
      </w:r>
      <w:r w:rsidR="00DA6F42" w:rsidRPr="00DA6F42">
        <w:rPr>
          <w:rFonts w:asciiTheme="minorHAnsi" w:hAnsiTheme="minorHAnsi" w:cstheme="minorHAnsi"/>
          <w:sz w:val="22"/>
          <w:szCs w:val="22"/>
          <w:lang w:val="en"/>
        </w:rPr>
        <w:t xml:space="preserve">ing repeat teenage pregnancies. </w:t>
      </w:r>
      <w:r w:rsidR="00DA6F42">
        <w:rPr>
          <w:rFonts w:asciiTheme="minorHAnsi" w:hAnsiTheme="minorHAnsi" w:cstheme="minorHAnsi"/>
          <w:sz w:val="22"/>
          <w:szCs w:val="22"/>
        </w:rPr>
        <w:t>T</w:t>
      </w:r>
      <w:r w:rsidR="006447E6" w:rsidRPr="00DA6F42">
        <w:rPr>
          <w:rFonts w:asciiTheme="minorHAnsi" w:hAnsiTheme="minorHAnsi" w:cstheme="minorHAnsi"/>
          <w:sz w:val="22"/>
          <w:szCs w:val="22"/>
        </w:rPr>
        <w:t>he FC work doesn’t mention work test</w:t>
      </w:r>
      <w:r w:rsidR="00DA6F42" w:rsidRPr="00DA6F42">
        <w:rPr>
          <w:rFonts w:asciiTheme="minorHAnsi" w:hAnsiTheme="minorHAnsi" w:cstheme="minorHAnsi"/>
          <w:sz w:val="22"/>
          <w:szCs w:val="22"/>
        </w:rPr>
        <w:t>ing or reduced welfare benefits</w:t>
      </w:r>
      <w:r w:rsidR="00DA6F42">
        <w:rPr>
          <w:rFonts w:asciiTheme="minorHAnsi" w:hAnsiTheme="minorHAnsi" w:cstheme="minorHAnsi"/>
          <w:sz w:val="22"/>
          <w:szCs w:val="22"/>
        </w:rPr>
        <w:t xml:space="preserve"> but focused on:</w:t>
      </w:r>
    </w:p>
    <w:p w:rsidR="00AD2DCB" w:rsidRDefault="00DA6F42" w:rsidP="003866C7">
      <w:pPr>
        <w:pStyle w:val="NormalWeb"/>
        <w:numPr>
          <w:ilvl w:val="0"/>
          <w:numId w:val="7"/>
        </w:numPr>
        <w:rPr>
          <w:rFonts w:asciiTheme="minorHAnsi" w:hAnsiTheme="minorHAnsi" w:cstheme="minorHAnsi"/>
          <w:sz w:val="22"/>
          <w:szCs w:val="22"/>
          <w:lang w:val="en"/>
        </w:rPr>
      </w:pPr>
      <w:r>
        <w:rPr>
          <w:rFonts w:asciiTheme="minorHAnsi" w:hAnsiTheme="minorHAnsi" w:cstheme="minorHAnsi"/>
          <w:sz w:val="22"/>
          <w:szCs w:val="22"/>
          <w:lang w:val="en"/>
        </w:rPr>
        <w:t>easy and affordable post school education and training;</w:t>
      </w:r>
    </w:p>
    <w:p w:rsidR="00DA6F42" w:rsidRDefault="005300C4" w:rsidP="003866C7">
      <w:pPr>
        <w:pStyle w:val="NormalWeb"/>
        <w:numPr>
          <w:ilvl w:val="0"/>
          <w:numId w:val="7"/>
        </w:numPr>
        <w:rPr>
          <w:rFonts w:asciiTheme="minorHAnsi" w:hAnsiTheme="minorHAnsi" w:cstheme="minorHAnsi"/>
          <w:sz w:val="22"/>
          <w:szCs w:val="22"/>
          <w:lang w:val="en"/>
        </w:rPr>
      </w:pPr>
      <w:r>
        <w:rPr>
          <w:rFonts w:asciiTheme="minorHAnsi" w:hAnsiTheme="minorHAnsi" w:cstheme="minorHAnsi"/>
          <w:sz w:val="22"/>
          <w:szCs w:val="22"/>
          <w:lang w:val="en"/>
        </w:rPr>
        <w:t xml:space="preserve">dedicated </w:t>
      </w:r>
      <w:r w:rsidR="00DA6F42">
        <w:rPr>
          <w:rFonts w:asciiTheme="minorHAnsi" w:hAnsiTheme="minorHAnsi" w:cstheme="minorHAnsi"/>
          <w:sz w:val="22"/>
          <w:szCs w:val="22"/>
          <w:lang w:val="en"/>
        </w:rPr>
        <w:t>support person</w:t>
      </w:r>
      <w:r>
        <w:rPr>
          <w:rFonts w:asciiTheme="minorHAnsi" w:hAnsiTheme="minorHAnsi" w:cstheme="minorHAnsi"/>
          <w:sz w:val="22"/>
          <w:szCs w:val="22"/>
          <w:lang w:val="en"/>
        </w:rPr>
        <w:t>/mentor</w:t>
      </w:r>
      <w:r w:rsidR="00DA6F42">
        <w:rPr>
          <w:rFonts w:asciiTheme="minorHAnsi" w:hAnsiTheme="minorHAnsi" w:cstheme="minorHAnsi"/>
          <w:sz w:val="22"/>
          <w:szCs w:val="22"/>
          <w:lang w:val="en"/>
        </w:rPr>
        <w:t>;</w:t>
      </w:r>
    </w:p>
    <w:p w:rsidR="00DA6F42" w:rsidRDefault="00DA6F42" w:rsidP="003866C7">
      <w:pPr>
        <w:pStyle w:val="NormalWeb"/>
        <w:numPr>
          <w:ilvl w:val="0"/>
          <w:numId w:val="7"/>
        </w:numPr>
        <w:rPr>
          <w:rFonts w:asciiTheme="minorHAnsi" w:hAnsiTheme="minorHAnsi" w:cstheme="minorHAnsi"/>
          <w:sz w:val="22"/>
          <w:szCs w:val="22"/>
          <w:lang w:val="en"/>
        </w:rPr>
      </w:pPr>
      <w:r>
        <w:rPr>
          <w:rFonts w:asciiTheme="minorHAnsi" w:hAnsiTheme="minorHAnsi" w:cstheme="minorHAnsi"/>
          <w:sz w:val="22"/>
          <w:szCs w:val="22"/>
          <w:lang w:val="en"/>
        </w:rPr>
        <w:t>teen mothers groups;</w:t>
      </w:r>
    </w:p>
    <w:p w:rsidR="00DA6F42" w:rsidRDefault="00DA6F42" w:rsidP="003866C7">
      <w:pPr>
        <w:pStyle w:val="NormalWeb"/>
        <w:numPr>
          <w:ilvl w:val="0"/>
          <w:numId w:val="7"/>
        </w:numPr>
        <w:rPr>
          <w:rFonts w:asciiTheme="minorHAnsi" w:hAnsiTheme="minorHAnsi" w:cstheme="minorHAnsi"/>
          <w:sz w:val="22"/>
          <w:szCs w:val="22"/>
          <w:lang w:val="en"/>
        </w:rPr>
      </w:pPr>
      <w:r>
        <w:rPr>
          <w:rFonts w:asciiTheme="minorHAnsi" w:hAnsiTheme="minorHAnsi" w:cstheme="minorHAnsi"/>
          <w:sz w:val="22"/>
          <w:szCs w:val="22"/>
          <w:lang w:val="en"/>
        </w:rPr>
        <w:t>engaging with fathers; and</w:t>
      </w:r>
    </w:p>
    <w:p w:rsidR="00DA6F42" w:rsidRPr="00DA6F42" w:rsidRDefault="00DA6F42" w:rsidP="003866C7">
      <w:pPr>
        <w:pStyle w:val="NormalWeb"/>
        <w:numPr>
          <w:ilvl w:val="0"/>
          <w:numId w:val="7"/>
        </w:numPr>
        <w:rPr>
          <w:rFonts w:asciiTheme="minorHAnsi" w:hAnsiTheme="minorHAnsi" w:cstheme="minorHAnsi"/>
          <w:sz w:val="22"/>
          <w:szCs w:val="22"/>
          <w:lang w:val="en"/>
        </w:rPr>
      </w:pPr>
      <w:r>
        <w:rPr>
          <w:rFonts w:asciiTheme="minorHAnsi" w:hAnsiTheme="minorHAnsi" w:cstheme="minorHAnsi"/>
          <w:sz w:val="22"/>
          <w:szCs w:val="22"/>
          <w:lang w:val="en"/>
        </w:rPr>
        <w:t xml:space="preserve">continuous support for contraceptive use. </w:t>
      </w:r>
    </w:p>
    <w:p w:rsidR="00E2561B" w:rsidRDefault="00EA3F22" w:rsidP="002F4ADA">
      <w:pPr>
        <w:pStyle w:val="PlainText"/>
        <w:ind w:left="720" w:hanging="720"/>
        <w:rPr>
          <w:lang w:val="en-US"/>
        </w:rPr>
      </w:pPr>
      <w:r>
        <w:rPr>
          <w:lang w:val="en-US"/>
        </w:rPr>
        <w:t>55</w:t>
      </w:r>
      <w:r w:rsidR="005300C4">
        <w:rPr>
          <w:lang w:val="en-US"/>
        </w:rPr>
        <w:tab/>
      </w:r>
      <w:r w:rsidR="002F4ADA">
        <w:rPr>
          <w:lang w:val="en-US"/>
        </w:rPr>
        <w:t>We think the integration of a package of support for sole parents</w:t>
      </w:r>
      <w:r w:rsidR="00E2561B">
        <w:rPr>
          <w:lang w:val="en-US"/>
        </w:rPr>
        <w:t xml:space="preserve"> has merit </w:t>
      </w:r>
      <w:r w:rsidR="00E2561B">
        <w:t>subject to costing</w:t>
      </w:r>
      <w:r w:rsidR="00E2561B">
        <w:rPr>
          <w:lang w:val="en-US"/>
        </w:rPr>
        <w:t>:</w:t>
      </w:r>
    </w:p>
    <w:p w:rsidR="00E2561B" w:rsidRDefault="00E2561B" w:rsidP="002F4ADA">
      <w:pPr>
        <w:pStyle w:val="PlainText"/>
        <w:ind w:left="720" w:hanging="720"/>
        <w:rPr>
          <w:lang w:val="en-US"/>
        </w:rPr>
      </w:pPr>
    </w:p>
    <w:p w:rsidR="00E2561B" w:rsidRPr="00E2561B" w:rsidRDefault="00E2561B" w:rsidP="003866C7">
      <w:pPr>
        <w:pStyle w:val="PlainText"/>
        <w:numPr>
          <w:ilvl w:val="0"/>
          <w:numId w:val="21"/>
        </w:numPr>
        <w:rPr>
          <w:rFonts w:cstheme="minorHAnsi"/>
        </w:rPr>
      </w:pPr>
      <w:r>
        <w:rPr>
          <w:lang w:val="en-US"/>
        </w:rPr>
        <w:t>access to childcare;</w:t>
      </w:r>
    </w:p>
    <w:p w:rsidR="00E2561B" w:rsidRPr="00E2561B" w:rsidRDefault="00E2561B" w:rsidP="003866C7">
      <w:pPr>
        <w:pStyle w:val="PlainText"/>
        <w:numPr>
          <w:ilvl w:val="0"/>
          <w:numId w:val="21"/>
        </w:numPr>
        <w:rPr>
          <w:rFonts w:cstheme="minorHAnsi"/>
        </w:rPr>
      </w:pPr>
      <w:r>
        <w:rPr>
          <w:lang w:val="en-US"/>
        </w:rPr>
        <w:t>e</w:t>
      </w:r>
      <w:r w:rsidR="00323563">
        <w:rPr>
          <w:lang w:val="en-US"/>
        </w:rPr>
        <w:t xml:space="preserve">arly childhood </w:t>
      </w:r>
      <w:r>
        <w:rPr>
          <w:lang w:val="en-US"/>
        </w:rPr>
        <w:t>e</w:t>
      </w:r>
      <w:r w:rsidR="00323563">
        <w:rPr>
          <w:lang w:val="en-US"/>
        </w:rPr>
        <w:t>ducation</w:t>
      </w:r>
      <w:r>
        <w:rPr>
          <w:lang w:val="en-US"/>
        </w:rPr>
        <w:t xml:space="preserve"> subsidies;</w:t>
      </w:r>
    </w:p>
    <w:p w:rsidR="00E2561B" w:rsidRPr="00E2561B" w:rsidRDefault="006F3823" w:rsidP="003866C7">
      <w:pPr>
        <w:pStyle w:val="PlainText"/>
        <w:numPr>
          <w:ilvl w:val="0"/>
          <w:numId w:val="21"/>
        </w:numPr>
        <w:rPr>
          <w:rFonts w:cstheme="minorHAnsi"/>
        </w:rPr>
      </w:pPr>
      <w:r>
        <w:rPr>
          <w:lang w:val="en-US"/>
        </w:rPr>
        <w:t>better marginal tax rate</w:t>
      </w:r>
      <w:r w:rsidR="002F4ADA">
        <w:rPr>
          <w:lang w:val="en-US"/>
        </w:rPr>
        <w:t xml:space="preserve">s combined with </w:t>
      </w:r>
      <w:r w:rsidR="00E07228">
        <w:t>tight</w:t>
      </w:r>
      <w:r w:rsidR="002F4ADA">
        <w:t xml:space="preserve"> work requirement</w:t>
      </w:r>
      <w:r w:rsidR="00E2561B">
        <w:t>s for those with young children;</w:t>
      </w:r>
    </w:p>
    <w:p w:rsidR="00E2561B" w:rsidRPr="00E2561B" w:rsidRDefault="00E2561B" w:rsidP="003866C7">
      <w:pPr>
        <w:pStyle w:val="PlainText"/>
        <w:numPr>
          <w:ilvl w:val="0"/>
          <w:numId w:val="21"/>
        </w:numPr>
        <w:rPr>
          <w:rFonts w:cstheme="minorHAnsi"/>
        </w:rPr>
      </w:pPr>
      <w:r>
        <w:t>additional universal health checks</w:t>
      </w:r>
      <w:r w:rsidR="000C419C">
        <w:t xml:space="preserve"> for children</w:t>
      </w:r>
      <w:r>
        <w:t>;</w:t>
      </w:r>
    </w:p>
    <w:p w:rsidR="00E2561B" w:rsidRPr="00E2561B" w:rsidRDefault="002F4ADA" w:rsidP="003866C7">
      <w:pPr>
        <w:pStyle w:val="PlainText"/>
        <w:numPr>
          <w:ilvl w:val="0"/>
          <w:numId w:val="21"/>
        </w:numPr>
        <w:rPr>
          <w:rFonts w:cstheme="minorHAnsi"/>
        </w:rPr>
      </w:pPr>
      <w:r>
        <w:t>enhanced access to contraception</w:t>
      </w:r>
      <w:r w:rsidR="00E2561B">
        <w:t>;</w:t>
      </w:r>
    </w:p>
    <w:p w:rsidR="00E2561B" w:rsidRPr="00E2561B" w:rsidRDefault="002F4ADA" w:rsidP="003866C7">
      <w:pPr>
        <w:pStyle w:val="PlainText"/>
        <w:numPr>
          <w:ilvl w:val="0"/>
          <w:numId w:val="21"/>
        </w:numPr>
        <w:rPr>
          <w:rFonts w:cstheme="minorHAnsi"/>
        </w:rPr>
      </w:pPr>
      <w:r>
        <w:t xml:space="preserve">with a </w:t>
      </w:r>
      <w:r w:rsidRPr="00E2561B">
        <w:rPr>
          <w:rFonts w:asciiTheme="minorHAnsi" w:hAnsiTheme="minorHAnsi" w:cstheme="minorHAnsi"/>
          <w:lang w:val="en"/>
        </w:rPr>
        <w:t>dedicated support person/</w:t>
      </w:r>
      <w:r>
        <w:t>mentor to assist in networki</w:t>
      </w:r>
      <w:r w:rsidR="00294070">
        <w:t xml:space="preserve">ng, engagement with fathers, </w:t>
      </w:r>
      <w:r>
        <w:t>facilitating access to appropriate education/training and/or employment</w:t>
      </w:r>
      <w:r w:rsidR="00E2561B">
        <w:t>;</w:t>
      </w:r>
      <w:r w:rsidR="00294070">
        <w:t xml:space="preserve"> and</w:t>
      </w:r>
    </w:p>
    <w:p w:rsidR="00E2561B" w:rsidRPr="00E2561B" w:rsidRDefault="000545EB" w:rsidP="003866C7">
      <w:pPr>
        <w:pStyle w:val="PlainText"/>
        <w:numPr>
          <w:ilvl w:val="0"/>
          <w:numId w:val="21"/>
        </w:numPr>
        <w:rPr>
          <w:rFonts w:cstheme="minorHAnsi"/>
        </w:rPr>
      </w:pPr>
      <w:r>
        <w:t>the proposed advanced payment model</w:t>
      </w:r>
      <w:r w:rsidR="002F4ADA">
        <w:t xml:space="preserve">. </w:t>
      </w:r>
    </w:p>
    <w:p w:rsidR="00E2561B" w:rsidRDefault="00E2561B" w:rsidP="00E2561B">
      <w:pPr>
        <w:pStyle w:val="PlainText"/>
      </w:pPr>
    </w:p>
    <w:p w:rsidR="00AD2DCB" w:rsidRPr="00E2561B" w:rsidRDefault="002F4ADA" w:rsidP="00E2561B">
      <w:pPr>
        <w:pStyle w:val="PlainText"/>
        <w:ind w:left="720"/>
        <w:rPr>
          <w:rFonts w:cstheme="minorHAnsi"/>
        </w:rPr>
      </w:pPr>
      <w:r>
        <w:t>Such an approach also recognises that sole parents</w:t>
      </w:r>
      <w:r w:rsidR="006D017B">
        <w:t xml:space="preserve"> to date have</w:t>
      </w:r>
      <w:r>
        <w:t xml:space="preserve"> the strongest incidence</w:t>
      </w:r>
      <w:r w:rsidRPr="00E2561B">
        <w:rPr>
          <w:rFonts w:cstheme="minorHAnsi"/>
        </w:rPr>
        <w:t xml:space="preserve"> and overall prevalence of deprivation and very poor income mobility. </w:t>
      </w:r>
    </w:p>
    <w:p w:rsidR="00732AEB" w:rsidRDefault="00732AEB" w:rsidP="002F4ADA">
      <w:pPr>
        <w:pStyle w:val="PlainText"/>
        <w:ind w:left="720" w:hanging="720"/>
        <w:rPr>
          <w:lang w:val="en-US"/>
        </w:rPr>
      </w:pPr>
    </w:p>
    <w:p w:rsidR="006D017B" w:rsidRPr="00581B49" w:rsidRDefault="006D017B" w:rsidP="00A4719A">
      <w:pPr>
        <w:pStyle w:val="PlainText"/>
        <w:ind w:left="720" w:hanging="720"/>
        <w:rPr>
          <w:u w:val="single"/>
          <w:lang w:val="en-US"/>
        </w:rPr>
      </w:pPr>
      <w:r>
        <w:rPr>
          <w:lang w:val="en-US"/>
        </w:rPr>
        <w:tab/>
      </w:r>
      <w:r w:rsidRPr="00581B49">
        <w:rPr>
          <w:u w:val="single"/>
          <w:lang w:val="en-US"/>
        </w:rPr>
        <w:t>Debt for vulnerable families</w:t>
      </w:r>
    </w:p>
    <w:p w:rsidR="006D017B" w:rsidRDefault="006D017B" w:rsidP="00E96998">
      <w:pPr>
        <w:pStyle w:val="PlainText"/>
        <w:ind w:left="720" w:hanging="720"/>
        <w:rPr>
          <w:lang w:val="en-US"/>
        </w:rPr>
      </w:pPr>
    </w:p>
    <w:p w:rsidR="00AD2DCB" w:rsidRDefault="00EA3F22" w:rsidP="00E96998">
      <w:pPr>
        <w:pStyle w:val="PlainText"/>
        <w:ind w:left="720" w:hanging="720"/>
        <w:rPr>
          <w:lang w:val="en-US"/>
        </w:rPr>
      </w:pPr>
      <w:r>
        <w:rPr>
          <w:lang w:val="en-US"/>
        </w:rPr>
        <w:t>56</w:t>
      </w:r>
      <w:r w:rsidR="00E96998">
        <w:rPr>
          <w:lang w:val="en-US"/>
        </w:rPr>
        <w:tab/>
      </w:r>
      <w:r w:rsidR="00732AEB">
        <w:rPr>
          <w:lang w:val="en-US"/>
        </w:rPr>
        <w:t xml:space="preserve">High levels of </w:t>
      </w:r>
      <w:r w:rsidR="007720D7">
        <w:rPr>
          <w:lang w:val="en-US"/>
        </w:rPr>
        <w:t>d</w:t>
      </w:r>
      <w:r w:rsidR="002450E5">
        <w:rPr>
          <w:lang w:val="en-US"/>
        </w:rPr>
        <w:t>eb</w:t>
      </w:r>
      <w:r w:rsidR="00E96998">
        <w:rPr>
          <w:lang w:val="en-US"/>
        </w:rPr>
        <w:t>t can break vulnerable families with dire consequences for children but debt can also be a valid way out of poverty</w:t>
      </w:r>
      <w:r w:rsidR="00342D70">
        <w:rPr>
          <w:lang w:val="en-US"/>
        </w:rPr>
        <w:t xml:space="preserve"> for many</w:t>
      </w:r>
      <w:r w:rsidR="00E96998">
        <w:rPr>
          <w:lang w:val="en-US"/>
        </w:rPr>
        <w:t xml:space="preserve">. </w:t>
      </w:r>
    </w:p>
    <w:p w:rsidR="00AD2DCB" w:rsidRDefault="00AD2DCB" w:rsidP="00762A03">
      <w:pPr>
        <w:pStyle w:val="PlainText"/>
        <w:rPr>
          <w:lang w:val="en-US"/>
        </w:rPr>
      </w:pPr>
    </w:p>
    <w:p w:rsidR="00E96998" w:rsidRDefault="00EA3F22" w:rsidP="00E96998">
      <w:pPr>
        <w:ind w:left="720" w:hanging="720"/>
      </w:pPr>
      <w:r>
        <w:rPr>
          <w:rFonts w:ascii="Calibri" w:hAnsi="Calibri" w:cs="Calibri"/>
          <w:lang w:val="en-US"/>
        </w:rPr>
        <w:t>57</w:t>
      </w:r>
      <w:r w:rsidR="00E96998">
        <w:rPr>
          <w:rFonts w:ascii="Calibri" w:hAnsi="Calibri" w:cs="Calibri"/>
          <w:lang w:val="en-US"/>
        </w:rPr>
        <w:tab/>
      </w:r>
      <w:r w:rsidR="00A57B5B">
        <w:t xml:space="preserve">No trading bank will </w:t>
      </w:r>
      <w:r w:rsidR="00E96998">
        <w:t xml:space="preserve">generally </w:t>
      </w:r>
      <w:r w:rsidR="00A57B5B">
        <w:t>lend to the most vulnerable,</w:t>
      </w:r>
      <w:r w:rsidR="00E96998">
        <w:t xml:space="preserve"> as such transactions involve</w:t>
      </w:r>
      <w:r w:rsidR="00A57B5B">
        <w:t xml:space="preserve"> very small margins, large transaction costs and massive information pr</w:t>
      </w:r>
      <w:r w:rsidR="00E96998">
        <w:t xml:space="preserve">oblems about the risks involved. </w:t>
      </w:r>
      <w:r w:rsidR="00A57B5B">
        <w:t xml:space="preserve">  </w:t>
      </w:r>
      <w:r w:rsidR="00E96998">
        <w:t>Subject to</w:t>
      </w:r>
      <w:r w:rsidR="00A57B5B">
        <w:t xml:space="preserve"> a principle in statue which says interest commitments entered into </w:t>
      </w:r>
      <w:r w:rsidR="00E96998">
        <w:t xml:space="preserve">with high risk lenders </w:t>
      </w:r>
      <w:r w:rsidR="00A57B5B">
        <w:t xml:space="preserve">have to be payable on the </w:t>
      </w:r>
      <w:r w:rsidR="00900C5B">
        <w:t>current income</w:t>
      </w:r>
      <w:r w:rsidR="00A57B5B">
        <w:t xml:space="preserve"> </w:t>
      </w:r>
      <w:r w:rsidR="00D80DBA">
        <w:t>of the</w:t>
      </w:r>
      <w:r w:rsidR="00A57B5B">
        <w:t xml:space="preserve"> individual family taking out the loan</w:t>
      </w:r>
      <w:r w:rsidR="00B9159B">
        <w:t xml:space="preserve"> adjusted for risk</w:t>
      </w:r>
      <w:r w:rsidR="00E96998">
        <w:t xml:space="preserve">, we see not material policy issues in the current regulation of what you refer to as “loan sharks”. </w:t>
      </w:r>
    </w:p>
    <w:p w:rsidR="00E96998" w:rsidRDefault="00EA3F22" w:rsidP="00721691">
      <w:pPr>
        <w:pStyle w:val="PlainText"/>
        <w:ind w:left="720" w:hanging="720"/>
      </w:pPr>
      <w:r>
        <w:t>58</w:t>
      </w:r>
      <w:r w:rsidR="00E96998">
        <w:tab/>
      </w:r>
      <w:r w:rsidR="00637C86">
        <w:t>Truly high interest borrowing are</w:t>
      </w:r>
      <w:r w:rsidR="00E96998" w:rsidRPr="00E96998">
        <w:t xml:space="preserve"> </w:t>
      </w:r>
      <w:r w:rsidR="00402D33">
        <w:t xml:space="preserve">only </w:t>
      </w:r>
      <w:r w:rsidR="00E96998" w:rsidRPr="00E96998">
        <w:t xml:space="preserve">a tiny proportion of all the 'problem borrowing' for vulnerable families. The vast amount of consumer interest burden is not from these short time /high interest loans, but from the bigger and most reputable lenders </w:t>
      </w:r>
      <w:r w:rsidR="007720D7">
        <w:t xml:space="preserve">(?) </w:t>
      </w:r>
      <w:r w:rsidR="00E96998" w:rsidRPr="00E96998">
        <w:t xml:space="preserve">like Visa, the </w:t>
      </w:r>
      <w:r w:rsidR="00E96998" w:rsidRPr="00E96998">
        <w:lastRenderedPageBreak/>
        <w:t xml:space="preserve">Trading Banks etc. It’s perhaps ironic that such lenders </w:t>
      </w:r>
      <w:r w:rsidR="004418BB">
        <w:t xml:space="preserve">may </w:t>
      </w:r>
      <w:r w:rsidR="00E96998" w:rsidRPr="00E96998">
        <w:t>position themselves as t</w:t>
      </w:r>
      <w:r w:rsidR="00637C86">
        <w:t>he responsible good guys and</w:t>
      </w:r>
      <w:r w:rsidR="00732AEB">
        <w:t xml:space="preserve"> </w:t>
      </w:r>
      <w:r w:rsidR="007720D7">
        <w:t xml:space="preserve">are perhaps </w:t>
      </w:r>
      <w:r w:rsidR="00E96998" w:rsidRPr="00E96998">
        <w:t>happy to see a</w:t>
      </w:r>
      <w:r w:rsidR="00732AEB">
        <w:t>ll the vitriol being directed at</w:t>
      </w:r>
      <w:r w:rsidR="00E96998" w:rsidRPr="00E96998">
        <w:t xml:space="preserve"> the margins of the lending system. Would AEG consider Visa a “loan shark”?</w:t>
      </w:r>
      <w:r w:rsidR="00E96998">
        <w:t xml:space="preserve"> </w:t>
      </w:r>
    </w:p>
    <w:p w:rsidR="00721691" w:rsidRDefault="00721691" w:rsidP="00721691">
      <w:pPr>
        <w:pStyle w:val="PlainText"/>
        <w:ind w:left="720" w:hanging="720"/>
      </w:pPr>
    </w:p>
    <w:p w:rsidR="00A57B5B" w:rsidRDefault="00EA3F22" w:rsidP="00342D70">
      <w:pPr>
        <w:ind w:left="720" w:hanging="720"/>
      </w:pPr>
      <w:r>
        <w:t>59</w:t>
      </w:r>
      <w:r w:rsidR="00342D70">
        <w:tab/>
        <w:t xml:space="preserve">Very </w:t>
      </w:r>
      <w:r w:rsidR="007720D7">
        <w:t>short time</w:t>
      </w:r>
      <w:r w:rsidR="00342D70" w:rsidRPr="00E96998">
        <w:t>/high interest</w:t>
      </w:r>
      <w:r w:rsidR="00342D70">
        <w:t xml:space="preserve"> lenders have strong incentives to ensure commitments entered into are payable i.e. they want paid; defaulting brings no windfall gains as borrowers </w:t>
      </w:r>
      <w:r w:rsidR="00A57B5B">
        <w:t>have no or little capital</w:t>
      </w:r>
      <w:r w:rsidR="00342D70">
        <w:t xml:space="preserve">; </w:t>
      </w:r>
      <w:r w:rsidR="00A57B5B">
        <w:t>WINZ isn’t going to pay the loan back</w:t>
      </w:r>
      <w:r w:rsidR="00342D70">
        <w:t>;</w:t>
      </w:r>
      <w:r w:rsidR="00A57B5B">
        <w:t xml:space="preserve"> and the person with the loan </w:t>
      </w:r>
      <w:r w:rsidR="00342D70">
        <w:t xml:space="preserve">may </w:t>
      </w:r>
      <w:r w:rsidR="00A57B5B">
        <w:t>get made bankru</w:t>
      </w:r>
      <w:r w:rsidR="00342D70">
        <w:t>pt so the lender gets nothing as the loan is unsecured. Further:</w:t>
      </w:r>
    </w:p>
    <w:p w:rsidR="00A57B5B" w:rsidRDefault="00A57B5B" w:rsidP="003866C7">
      <w:pPr>
        <w:pStyle w:val="ListParagraph"/>
        <w:numPr>
          <w:ilvl w:val="0"/>
          <w:numId w:val="9"/>
        </w:numPr>
      </w:pPr>
      <w:r>
        <w:t xml:space="preserve">one of the reasons the sector has such bad </w:t>
      </w:r>
      <w:r w:rsidR="00342D70">
        <w:t>press is the "finance rate" Government</w:t>
      </w:r>
      <w:r>
        <w:t xml:space="preserve"> mandated in the early 1990s for all financi</w:t>
      </w:r>
      <w:r w:rsidR="00342D70">
        <w:t xml:space="preserve">al providers. </w:t>
      </w:r>
      <w:r>
        <w:t xml:space="preserve"> It builds in the one-off financing costs/application fees and projects the total cost as an annual rate, making the rates look</w:t>
      </w:r>
      <w:r w:rsidR="00342D70">
        <w:t xml:space="preserve"> </w:t>
      </w:r>
      <w:r w:rsidR="00330E5A">
        <w:t xml:space="preserve">pretty </w:t>
      </w:r>
      <w:r w:rsidR="00342D70">
        <w:t>ridiculous without the context; and</w:t>
      </w:r>
    </w:p>
    <w:p w:rsidR="00342D70" w:rsidRDefault="00402D33" w:rsidP="003866C7">
      <w:pPr>
        <w:pStyle w:val="ListParagraph"/>
        <w:numPr>
          <w:ilvl w:val="0"/>
          <w:numId w:val="9"/>
        </w:numPr>
      </w:pPr>
      <w:r>
        <w:t xml:space="preserve">unnecessary regulation or </w:t>
      </w:r>
      <w:r w:rsidR="00342D70">
        <w:t>ban</w:t>
      </w:r>
      <w:r>
        <w:t>ning may drive “loan sharks” to go under the radar to the black market</w:t>
      </w:r>
      <w:r w:rsidR="00342D70">
        <w:t xml:space="preserve"> and you actually put vulnerable borrowers at </w:t>
      </w:r>
      <w:r>
        <w:t xml:space="preserve">greater </w:t>
      </w:r>
      <w:r w:rsidR="00342D70">
        <w:t>risk.</w:t>
      </w:r>
    </w:p>
    <w:p w:rsidR="00342D70" w:rsidRDefault="00342D70" w:rsidP="00342D70">
      <w:pPr>
        <w:pStyle w:val="ListParagraph"/>
        <w:ind w:left="360"/>
      </w:pPr>
    </w:p>
    <w:p w:rsidR="00721691" w:rsidRDefault="00EA3F22" w:rsidP="00721691">
      <w:pPr>
        <w:ind w:left="720" w:hanging="720"/>
      </w:pPr>
      <w:r>
        <w:t>60</w:t>
      </w:r>
      <w:r w:rsidR="00342D70">
        <w:tab/>
      </w:r>
      <w:r w:rsidR="00900C5B">
        <w:t>Wesley Community Action</w:t>
      </w:r>
      <w:r w:rsidR="00721691">
        <w:t xml:space="preserve"> (WCA)</w:t>
      </w:r>
      <w:r w:rsidR="00900C5B">
        <w:t xml:space="preserve"> </w:t>
      </w:r>
      <w:r w:rsidR="00A57B5B">
        <w:t xml:space="preserve">recently got </w:t>
      </w:r>
      <w:r w:rsidR="006D017B">
        <w:t>30 or</w:t>
      </w:r>
      <w:r w:rsidR="007720D7">
        <w:t xml:space="preserve"> so </w:t>
      </w:r>
      <w:r w:rsidR="00A57B5B">
        <w:t>“loan sharks” and other stakeholders around a table in Porirua to talk about ethi</w:t>
      </w:r>
      <w:r w:rsidR="00342D70">
        <w:t xml:space="preserve">cal lending in their community. The outcome was a understanding that </w:t>
      </w:r>
      <w:r w:rsidR="00A57B5B">
        <w:t xml:space="preserve"> “loan sharks” are an important part of community and one way to get out of poverty for some i.e. if you don’t fit the WINZ criteria but need a suit or car to get to work etc.  </w:t>
      </w:r>
      <w:r w:rsidR="007204DD">
        <w:t>While there</w:t>
      </w:r>
      <w:r w:rsidR="00342D70">
        <w:t xml:space="preserve"> is </w:t>
      </w:r>
      <w:r w:rsidR="00721691">
        <w:t xml:space="preserve">clear </w:t>
      </w:r>
      <w:r w:rsidR="00342D70">
        <w:t>value in the</w:t>
      </w:r>
      <w:r w:rsidR="00A57B5B">
        <w:t xml:space="preserve"> sector</w:t>
      </w:r>
      <w:r w:rsidR="00342D70">
        <w:t xml:space="preserve"> </w:t>
      </w:r>
      <w:r w:rsidR="007204DD">
        <w:t>continuing to mature</w:t>
      </w:r>
      <w:r w:rsidR="00342D70">
        <w:t xml:space="preserve"> and </w:t>
      </w:r>
      <w:r w:rsidR="00A57B5B">
        <w:t>work</w:t>
      </w:r>
      <w:r w:rsidR="00342D70">
        <w:t xml:space="preserve">ing more with the trading banks more, </w:t>
      </w:r>
      <w:r w:rsidR="00A57B5B">
        <w:t>as “loan sharks” have the experience and knowledge about locals risk functions</w:t>
      </w:r>
      <w:r w:rsidR="00721691">
        <w:t xml:space="preserve">, so </w:t>
      </w:r>
      <w:r w:rsidR="007204DD">
        <w:t xml:space="preserve">will </w:t>
      </w:r>
      <w:r w:rsidR="00721691">
        <w:t>better able to match risk to return</w:t>
      </w:r>
      <w:r w:rsidR="00A57B5B">
        <w:t xml:space="preserve">. Of course the interest rates will be higher, </w:t>
      </w:r>
      <w:r w:rsidR="00721691">
        <w:t xml:space="preserve">it’s a </w:t>
      </w:r>
      <w:r w:rsidR="00A57B5B">
        <w:t xml:space="preserve">simple function of </w:t>
      </w:r>
      <w:r w:rsidR="00732AEB">
        <w:t xml:space="preserve">relative </w:t>
      </w:r>
      <w:r w:rsidR="00A57B5B">
        <w:t>risk</w:t>
      </w:r>
      <w:r w:rsidR="00342D70">
        <w:t>,</w:t>
      </w:r>
      <w:r w:rsidR="00A57B5B">
        <w:t xml:space="preserve"> but it’s</w:t>
      </w:r>
      <w:r w:rsidR="00342D70">
        <w:t xml:space="preserve"> a pretty</w:t>
      </w:r>
      <w:r w:rsidR="00A57B5B">
        <w:t xml:space="preserve"> competitive market i.e. many suppliers with downward pressure on price an</w:t>
      </w:r>
      <w:r w:rsidR="007204DD">
        <w:t>d the ability to shop around</w:t>
      </w:r>
      <w:r w:rsidR="00A57B5B">
        <w:t>.  </w:t>
      </w:r>
    </w:p>
    <w:p w:rsidR="006B2DF0" w:rsidRDefault="00EA3F22" w:rsidP="006B2DF0">
      <w:pPr>
        <w:ind w:left="720" w:hanging="720"/>
      </w:pPr>
      <w:r>
        <w:t>61</w:t>
      </w:r>
      <w:r w:rsidR="00721691">
        <w:tab/>
        <w:t xml:space="preserve">An alternative often discussed is capping interest rates, after reviewing the literature the evidence suggests that introducing interest rate caps on financial loan companies has mixed success, and often brings with it many unintended consequences. One of the greatest risks is greater financial exclusion. If a lender is constrained in the rate of interest they can charge, they will not lend to anyone whose rate of risk they calculate to be above the cap. If lenders can’t lend according to risk, this could also lead to higher prices for all customers. Interest rate caps are often described as a 'blunt instrument' since not all high interest loans are necessarily unfair or result in over-indebtedness, and not all consumers may underestimate the risks of high cost credit. Enforcement of price controls, including interest rate caps, is expensive and </w:t>
      </w:r>
      <w:r w:rsidR="007204DD">
        <w:t xml:space="preserve">also </w:t>
      </w:r>
      <w:r w:rsidR="00721691">
        <w:t xml:space="preserve">difficult to administer. </w:t>
      </w:r>
    </w:p>
    <w:p w:rsidR="0058022D" w:rsidRPr="00EA3F22" w:rsidRDefault="00EA3F22" w:rsidP="00EA3F22">
      <w:pPr>
        <w:ind w:left="720" w:hanging="720"/>
        <w:rPr>
          <w:rFonts w:cstheme="minorHAnsi"/>
        </w:rPr>
      </w:pPr>
      <w:r>
        <w:t>62</w:t>
      </w:r>
      <w:r w:rsidR="006B2DF0">
        <w:tab/>
      </w:r>
      <w:r w:rsidR="00721691">
        <w:t xml:space="preserve">A recent European Commission report found interest rate caps tended to reduce access to credit, particularly for low-income borrowers; reduce the choice of products available to consumers; and increase the overall cost of credit in parts of the market. The study also found little evidence that credit price restrictions helped to reduce overindebtedness. </w:t>
      </w:r>
      <w:r w:rsidR="00721691">
        <w:rPr>
          <w:rFonts w:cstheme="minorHAnsi"/>
          <w:bCs/>
        </w:rPr>
        <w:t>See “</w:t>
      </w:r>
      <w:r w:rsidR="00721691" w:rsidRPr="00721691">
        <w:rPr>
          <w:rFonts w:cstheme="minorHAnsi"/>
          <w:bCs/>
          <w:i/>
        </w:rPr>
        <w:t>Study on interest rate restrictions in the EU</w:t>
      </w:r>
      <w:r w:rsidR="00721691">
        <w:rPr>
          <w:rFonts w:cstheme="minorHAnsi"/>
          <w:bCs/>
        </w:rPr>
        <w:t xml:space="preserve">”, </w:t>
      </w:r>
      <w:r w:rsidR="00721691" w:rsidRPr="00721691">
        <w:rPr>
          <w:rFonts w:cstheme="minorHAnsi"/>
        </w:rPr>
        <w:t>Prof. Dr. Udo Reifner, Sebastien Clerc-Renaud, RA Michael Knobloch</w:t>
      </w:r>
      <w:r w:rsidR="00721691">
        <w:rPr>
          <w:rFonts w:cstheme="minorHAnsi"/>
        </w:rPr>
        <w:t xml:space="preserve">, </w:t>
      </w:r>
      <w:r w:rsidR="00721691" w:rsidRPr="00721691">
        <w:rPr>
          <w:rFonts w:cstheme="minorHAnsi"/>
        </w:rPr>
        <w:t>Institut für Finanzdienstleistungen</w:t>
      </w:r>
      <w:r w:rsidR="00721691">
        <w:rPr>
          <w:rFonts w:cstheme="minorHAnsi"/>
        </w:rPr>
        <w:t xml:space="preserve"> (2011). </w:t>
      </w:r>
    </w:p>
    <w:p w:rsidR="00503707" w:rsidRDefault="00503707" w:rsidP="00C051E5">
      <w:pPr>
        <w:ind w:left="720"/>
        <w:rPr>
          <w:u w:val="single"/>
          <w:lang w:val="en-US"/>
        </w:rPr>
      </w:pPr>
    </w:p>
    <w:p w:rsidR="00503707" w:rsidRDefault="00503707" w:rsidP="00C051E5">
      <w:pPr>
        <w:ind w:left="720"/>
        <w:rPr>
          <w:u w:val="single"/>
          <w:lang w:val="en-US"/>
        </w:rPr>
      </w:pPr>
    </w:p>
    <w:p w:rsidR="00503707" w:rsidRDefault="00503707" w:rsidP="00C051E5">
      <w:pPr>
        <w:ind w:left="720"/>
        <w:rPr>
          <w:u w:val="single"/>
          <w:lang w:val="en-US"/>
        </w:rPr>
      </w:pPr>
    </w:p>
    <w:p w:rsidR="006D017B" w:rsidRPr="00C051E5" w:rsidRDefault="006D017B" w:rsidP="00C051E5">
      <w:pPr>
        <w:ind w:left="720"/>
      </w:pPr>
      <w:r w:rsidRPr="00581B49">
        <w:rPr>
          <w:u w:val="single"/>
          <w:lang w:val="en-US"/>
        </w:rPr>
        <w:t>Subsidised breakfasts at early child providers and schools</w:t>
      </w:r>
    </w:p>
    <w:p w:rsidR="006D017B" w:rsidRDefault="006D017B" w:rsidP="007720D7">
      <w:pPr>
        <w:pStyle w:val="NoSpacing"/>
        <w:ind w:left="720" w:hanging="720"/>
      </w:pPr>
    </w:p>
    <w:p w:rsidR="00F3497D" w:rsidRDefault="00EA3F22" w:rsidP="007720D7">
      <w:pPr>
        <w:pStyle w:val="NoSpacing"/>
        <w:ind w:left="720" w:hanging="720"/>
      </w:pPr>
      <w:r>
        <w:t>63</w:t>
      </w:r>
      <w:r w:rsidR="007720D7">
        <w:tab/>
        <w:t>Most a</w:t>
      </w:r>
      <w:r w:rsidR="00F3497D">
        <w:t xml:space="preserve">cademic research has shown that </w:t>
      </w:r>
      <w:r w:rsidR="004418BB">
        <w:t xml:space="preserve">a </w:t>
      </w:r>
      <w:r w:rsidR="00F3497D">
        <w:t>regular breakfast is associated with better academic</w:t>
      </w:r>
      <w:r w:rsidR="007E137C">
        <w:t xml:space="preserve"> </w:t>
      </w:r>
      <w:r w:rsidR="00581B49">
        <w:t>outcomes</w:t>
      </w:r>
      <w:r w:rsidR="00F3497D">
        <w:t>, and overseas evaluations of free school breakfast programmes have usually, though not always, shown a lift in school performance</w:t>
      </w:r>
      <w:r w:rsidR="004418BB">
        <w:t xml:space="preserve"> by some students</w:t>
      </w:r>
      <w:r w:rsidR="00F3497D">
        <w:t xml:space="preserve">. </w:t>
      </w:r>
    </w:p>
    <w:p w:rsidR="00F3497D" w:rsidRDefault="00F3497D" w:rsidP="00F3497D">
      <w:pPr>
        <w:pStyle w:val="NoSpacing"/>
      </w:pPr>
    </w:p>
    <w:p w:rsidR="00F3497D" w:rsidRDefault="00EA3F22" w:rsidP="00526642">
      <w:pPr>
        <w:pStyle w:val="NoSpacing"/>
        <w:ind w:left="720" w:hanging="720"/>
      </w:pPr>
      <w:r>
        <w:t>64</w:t>
      </w:r>
      <w:r w:rsidR="00526642">
        <w:tab/>
        <w:t>However there are a number of key questions</w:t>
      </w:r>
      <w:r w:rsidR="004418BB">
        <w:t xml:space="preserve"> we need to address</w:t>
      </w:r>
      <w:r w:rsidR="00526642">
        <w:t>, firstly: what is the nature and magnitude of children going to early childhood providers and schools with out breakfast?</w:t>
      </w:r>
    </w:p>
    <w:p w:rsidR="00F3497D" w:rsidRDefault="00F3497D" w:rsidP="00F3497D">
      <w:pPr>
        <w:pStyle w:val="NoSpacing"/>
      </w:pPr>
    </w:p>
    <w:p w:rsidR="00F3497D" w:rsidRPr="00526642" w:rsidRDefault="00EA3F22" w:rsidP="00526642">
      <w:pPr>
        <w:pStyle w:val="NoSpacing"/>
        <w:ind w:left="720" w:hanging="720"/>
      </w:pPr>
      <w:r>
        <w:t>65</w:t>
      </w:r>
      <w:r w:rsidR="00526642">
        <w:tab/>
        <w:t>The Health Sponsorship Council’s 2007 Children’s Food and Drink survey provides the most recent snapshot of children’s eating habits. In summary t</w:t>
      </w:r>
      <w:r w:rsidR="00F3497D">
        <w:t>here is only a small group of children who are going to school regularly without breakfast at primary school age (2 to 3 percent of children aged</w:t>
      </w:r>
      <w:r w:rsidR="00526642">
        <w:t xml:space="preserve"> 5 to 12). Most of the issue was</w:t>
      </w:r>
      <w:r w:rsidR="00F3497D">
        <w:t xml:space="preserve"> at secondary school age </w:t>
      </w:r>
      <w:r w:rsidR="00526642">
        <w:t xml:space="preserve">(14% of children aged 13 to 16). </w:t>
      </w:r>
      <w:r w:rsidR="00F3497D">
        <w:t>The study covered children aged 5 to 16 and the commonly quoted figure of 40,000 children without breakfast appears to b</w:t>
      </w:r>
      <w:r w:rsidR="00B619A3">
        <w:t>e derived from it. Note the</w:t>
      </w:r>
      <w:r w:rsidR="00F3497D">
        <w:t xml:space="preserve"> data was collected prior to the full impact of Working for Families</w:t>
      </w:r>
      <w:r w:rsidR="00B619A3">
        <w:t xml:space="preserve"> and excludes children at early childhood providers</w:t>
      </w:r>
      <w:r w:rsidR="00F3497D">
        <w:t>.</w:t>
      </w:r>
    </w:p>
    <w:p w:rsidR="00F3497D" w:rsidRDefault="00F3497D" w:rsidP="00F3497D">
      <w:pPr>
        <w:pStyle w:val="NoSpacing"/>
        <w:rPr>
          <w:b/>
          <w:bCs/>
          <w:color w:val="373737"/>
          <w:sz w:val="26"/>
          <w:szCs w:val="26"/>
        </w:rPr>
      </w:pPr>
    </w:p>
    <w:p w:rsidR="00F3497D" w:rsidRDefault="00EA3F22" w:rsidP="00526642">
      <w:pPr>
        <w:pStyle w:val="NoSpacing"/>
        <w:ind w:left="720" w:hanging="720"/>
      </w:pPr>
      <w:r>
        <w:t>66</w:t>
      </w:r>
      <w:r w:rsidR="00526642">
        <w:tab/>
      </w:r>
      <w:r w:rsidR="00F3497D">
        <w:t>The study showed that:</w:t>
      </w:r>
    </w:p>
    <w:p w:rsidR="00F3497D" w:rsidRDefault="00F3497D" w:rsidP="00F3497D">
      <w:pPr>
        <w:pStyle w:val="NoSpacing"/>
      </w:pPr>
    </w:p>
    <w:p w:rsidR="002450E5" w:rsidRDefault="002450E5" w:rsidP="003866C7">
      <w:pPr>
        <w:pStyle w:val="ListParagraph"/>
        <w:numPr>
          <w:ilvl w:val="0"/>
          <w:numId w:val="14"/>
        </w:numPr>
      </w:pPr>
      <w:r>
        <w:t xml:space="preserve">94% of parents and caregivers said that their child had breakfast most school days (83% every day) </w:t>
      </w:r>
    </w:p>
    <w:p w:rsidR="002450E5" w:rsidRDefault="002450E5" w:rsidP="003866C7">
      <w:pPr>
        <w:pStyle w:val="ListParagraph"/>
        <w:numPr>
          <w:ilvl w:val="0"/>
          <w:numId w:val="14"/>
        </w:numPr>
      </w:pPr>
      <w:r>
        <w:t>6% said that their child never ate breakfast on school days, and 3% said that their child never eats breakfast on weekend days.</w:t>
      </w:r>
    </w:p>
    <w:p w:rsidR="002450E5" w:rsidRDefault="002450E5" w:rsidP="003866C7">
      <w:pPr>
        <w:pStyle w:val="ListParagraph"/>
        <w:numPr>
          <w:ilvl w:val="0"/>
          <w:numId w:val="14"/>
        </w:numPr>
      </w:pPr>
      <w:r>
        <w:t xml:space="preserve">93% of parents and caregivers said that their child took food and drink to school from home, and over eight out of ten (81%) said that this happened every school day </w:t>
      </w:r>
    </w:p>
    <w:p w:rsidR="002450E5" w:rsidRDefault="002450E5" w:rsidP="003866C7">
      <w:pPr>
        <w:pStyle w:val="ListParagraph"/>
        <w:numPr>
          <w:ilvl w:val="0"/>
          <w:numId w:val="14"/>
        </w:numPr>
      </w:pPr>
      <w:r>
        <w:t>5% said their child never, or only rarely, took food to school; and</w:t>
      </w:r>
    </w:p>
    <w:p w:rsidR="002450E5" w:rsidRDefault="002450E5" w:rsidP="003866C7">
      <w:pPr>
        <w:pStyle w:val="ListParagraph"/>
        <w:numPr>
          <w:ilvl w:val="0"/>
          <w:numId w:val="14"/>
        </w:numPr>
      </w:pPr>
      <w:r>
        <w:t>97% said their children had breakfast most weekend days (80% every weekend day).</w:t>
      </w:r>
    </w:p>
    <w:p w:rsidR="00526642" w:rsidRDefault="00526642" w:rsidP="00526642">
      <w:pPr>
        <w:autoSpaceDE w:val="0"/>
        <w:autoSpaceDN w:val="0"/>
        <w:adjustRightInd w:val="0"/>
        <w:spacing w:after="120"/>
        <w:rPr>
          <w:rFonts w:cs="Arial"/>
          <w:lang w:eastAsia="en-NZ"/>
        </w:rPr>
      </w:pPr>
    </w:p>
    <w:p w:rsidR="00F3497D" w:rsidRPr="00526642" w:rsidRDefault="00EA3F22" w:rsidP="00526642">
      <w:pPr>
        <w:pStyle w:val="NoSpacing"/>
        <w:ind w:left="720" w:hanging="720"/>
      </w:pPr>
      <w:r>
        <w:t>67</w:t>
      </w:r>
      <w:r w:rsidR="00526642">
        <w:tab/>
        <w:t>Further t</w:t>
      </w:r>
      <w:r w:rsidR="00F3497D" w:rsidRPr="00526642">
        <w:t xml:space="preserve">he survey showed that the largest group skipping breakfast was teenagers. Fourteen percent of children aged 13 to 16 never had breakfast on school days, and another 14 percent skipped breakfast sometimes. By comparison only 2 percent of young children (5 to 7) and 3 percent of older primary school children (aged 8 to 12) never had breakfast, though about 8 percent of each age-group sometimes skipped breakfast. Overall about two-thirds of the young people who never had breakfast were at secondary school. </w:t>
      </w:r>
    </w:p>
    <w:p w:rsidR="00F3497D" w:rsidRDefault="00F3497D" w:rsidP="00F3497D">
      <w:pPr>
        <w:pStyle w:val="NoSpacing"/>
      </w:pPr>
    </w:p>
    <w:p w:rsidR="00F3497D" w:rsidRDefault="00490511" w:rsidP="00526642">
      <w:pPr>
        <w:pStyle w:val="NoSpacing"/>
        <w:ind w:left="720" w:hanging="720"/>
      </w:pPr>
      <w:r>
        <w:t>6</w:t>
      </w:r>
      <w:r w:rsidR="00EA3F22">
        <w:t>8</w:t>
      </w:r>
      <w:r w:rsidR="00526642">
        <w:tab/>
      </w:r>
      <w:r w:rsidR="00F3497D">
        <w:t>We do not know how many of these children do so because they do not want breakfast, and how many because it was not available. There is a suggestion that some of these children, particularly in the Pacific community, do not have breakfast because of cultural norms, and addressing this may be a matter of education.</w:t>
      </w:r>
    </w:p>
    <w:p w:rsidR="00F3497D" w:rsidRDefault="00F3497D" w:rsidP="00F3497D">
      <w:pPr>
        <w:pStyle w:val="NoSpacing"/>
      </w:pPr>
    </w:p>
    <w:p w:rsidR="00F3497D" w:rsidRPr="0037201D" w:rsidRDefault="00EA3F22" w:rsidP="0037201D">
      <w:pPr>
        <w:autoSpaceDE w:val="0"/>
        <w:autoSpaceDN w:val="0"/>
        <w:adjustRightInd w:val="0"/>
        <w:contextualSpacing/>
        <w:rPr>
          <w:rFonts w:cs="Arial"/>
        </w:rPr>
      </w:pPr>
      <w:r>
        <w:rPr>
          <w:rFonts w:cs="Arial"/>
        </w:rPr>
        <w:t>69</w:t>
      </w:r>
      <w:r w:rsidR="00B619A3">
        <w:rPr>
          <w:rFonts w:cs="Arial"/>
        </w:rPr>
        <w:tab/>
      </w:r>
      <w:r w:rsidR="00526642" w:rsidRPr="00526642">
        <w:rPr>
          <w:rFonts w:cs="Arial"/>
        </w:rPr>
        <w:t xml:space="preserve">You have </w:t>
      </w:r>
      <w:r w:rsidR="00F3497D" w:rsidRPr="00526642">
        <w:rPr>
          <w:rFonts w:cs="Arial"/>
        </w:rPr>
        <w:t xml:space="preserve">cited as key evidence </w:t>
      </w:r>
      <w:r w:rsidR="0037201D" w:rsidRPr="00526642">
        <w:rPr>
          <w:rFonts w:cs="Arial"/>
        </w:rPr>
        <w:t>that:</w:t>
      </w:r>
    </w:p>
    <w:p w:rsidR="00F3497D" w:rsidRDefault="00F3497D" w:rsidP="00F3497D">
      <w:pPr>
        <w:pStyle w:val="ListParagraph"/>
        <w:autoSpaceDE w:val="0"/>
        <w:autoSpaceDN w:val="0"/>
        <w:adjustRightInd w:val="0"/>
        <w:rPr>
          <w:rFonts w:cs="Arial"/>
          <w:color w:val="000000"/>
        </w:rPr>
      </w:pPr>
      <w:r>
        <w:rPr>
          <w:rFonts w:cs="Arial"/>
        </w:rPr>
        <w:t>“</w:t>
      </w:r>
      <w:r>
        <w:rPr>
          <w:rFonts w:cs="Arial"/>
          <w:color w:val="000000"/>
        </w:rPr>
        <w:t>A Ministry of Health survey found that 20.1 percent of New Zealand households with school-age children did not have enough food for active and health living. This percentage significantly increased for Pasifika and Māori families, large   families, and those from the lowest socio-economic groups (Parnell, et al, 2003; in Yates et.al, 2010). Children in low-</w:t>
      </w:r>
      <w:r>
        <w:rPr>
          <w:rFonts w:cs="Arial"/>
          <w:color w:val="000000"/>
        </w:rPr>
        <w:lastRenderedPageBreak/>
        <w:t>income households are also more likely to have higher cholesterol intake and eat fewer healthy foods than their peers in higher income h</w:t>
      </w:r>
      <w:r w:rsidR="00BF7D42">
        <w:rPr>
          <w:rFonts w:cs="Arial"/>
          <w:color w:val="000000"/>
        </w:rPr>
        <w:t>ouseholds (Smith &amp; Brown, 2010)”.</w:t>
      </w:r>
    </w:p>
    <w:p w:rsidR="00F3497D" w:rsidRDefault="00F3497D" w:rsidP="00F3497D">
      <w:pPr>
        <w:pStyle w:val="ListParagraph"/>
        <w:autoSpaceDE w:val="0"/>
        <w:autoSpaceDN w:val="0"/>
        <w:adjustRightInd w:val="0"/>
        <w:rPr>
          <w:color w:val="000000"/>
          <w:sz w:val="24"/>
        </w:rPr>
      </w:pPr>
    </w:p>
    <w:p w:rsidR="00F90A38" w:rsidRPr="00F7157E" w:rsidRDefault="00EA3F22" w:rsidP="00F7157E">
      <w:pPr>
        <w:autoSpaceDE w:val="0"/>
        <w:autoSpaceDN w:val="0"/>
        <w:adjustRightInd w:val="0"/>
        <w:ind w:left="720" w:hanging="720"/>
        <w:contextualSpacing/>
        <w:rPr>
          <w:rFonts w:cs="Arial"/>
        </w:rPr>
      </w:pPr>
      <w:r>
        <w:rPr>
          <w:rFonts w:cs="Arial"/>
        </w:rPr>
        <w:t>70</w:t>
      </w:r>
      <w:r w:rsidR="00B619A3">
        <w:rPr>
          <w:rFonts w:cs="Arial"/>
        </w:rPr>
        <w:tab/>
      </w:r>
      <w:r w:rsidR="00F3497D" w:rsidRPr="00526642">
        <w:rPr>
          <w:rFonts w:cs="Arial"/>
        </w:rPr>
        <w:t>The Ministry of Health study had eight food security questions. Overall 20.1 percent of households answered “sometimes” when asked whether they could “afford to eat properly”. The other seven questions give a richer picture of what this “sometimes” actually meant in terms o</w:t>
      </w:r>
      <w:r w:rsidR="004418BB">
        <w:rPr>
          <w:rFonts w:cs="Arial"/>
        </w:rPr>
        <w:t>f food availability. They show</w:t>
      </w:r>
      <w:r w:rsidR="00F7157E">
        <w:rPr>
          <w:rFonts w:cs="Arial"/>
        </w:rPr>
        <w:t xml:space="preserve"> the following:</w:t>
      </w:r>
    </w:p>
    <w:tbl>
      <w:tblPr>
        <w:tblW w:w="871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59"/>
        <w:gridCol w:w="1275"/>
        <w:gridCol w:w="1381"/>
      </w:tblGrid>
      <w:tr w:rsidR="00526642" w:rsidTr="002450E5">
        <w:tc>
          <w:tcPr>
            <w:tcW w:w="6059" w:type="dxa"/>
            <w:tcBorders>
              <w:top w:val="single" w:sz="4" w:space="0" w:color="auto"/>
              <w:left w:val="single" w:sz="4" w:space="0" w:color="auto"/>
              <w:bottom w:val="single" w:sz="4" w:space="0" w:color="auto"/>
              <w:right w:val="single" w:sz="4" w:space="0" w:color="auto"/>
            </w:tcBorders>
          </w:tcPr>
          <w:p w:rsidR="00526642" w:rsidRPr="00FD45C6" w:rsidRDefault="00526642" w:rsidP="00FD45C6">
            <w:pPr>
              <w:pStyle w:val="NoSpacing"/>
              <w:rPr>
                <w:rFonts w:ascii="Arial" w:hAnsi="Arial"/>
                <w:b/>
                <w:sz w:val="20"/>
                <w:szCs w:val="20"/>
              </w:rPr>
            </w:pPr>
            <w:r w:rsidRPr="00FD45C6">
              <w:rPr>
                <w:b/>
                <w:sz w:val="20"/>
                <w:szCs w:val="20"/>
              </w:rPr>
              <w:t>Percent of households</w:t>
            </w:r>
          </w:p>
        </w:tc>
        <w:tc>
          <w:tcPr>
            <w:tcW w:w="1275" w:type="dxa"/>
            <w:tcBorders>
              <w:top w:val="single" w:sz="4" w:space="0" w:color="auto"/>
              <w:left w:val="single" w:sz="4" w:space="0" w:color="auto"/>
              <w:bottom w:val="single" w:sz="4" w:space="0" w:color="auto"/>
              <w:right w:val="single" w:sz="4" w:space="0" w:color="auto"/>
            </w:tcBorders>
            <w:hideMark/>
          </w:tcPr>
          <w:p w:rsidR="00526642" w:rsidRPr="00FD45C6" w:rsidRDefault="00526642" w:rsidP="00FD45C6">
            <w:pPr>
              <w:pStyle w:val="NoSpacing"/>
              <w:rPr>
                <w:rFonts w:ascii="Arial" w:hAnsi="Arial"/>
                <w:b/>
                <w:sz w:val="20"/>
                <w:szCs w:val="20"/>
              </w:rPr>
            </w:pPr>
            <w:r w:rsidRPr="00FD45C6">
              <w:rPr>
                <w:b/>
                <w:sz w:val="20"/>
                <w:szCs w:val="20"/>
              </w:rPr>
              <w:t>Often</w:t>
            </w:r>
          </w:p>
        </w:tc>
        <w:tc>
          <w:tcPr>
            <w:tcW w:w="1381" w:type="dxa"/>
            <w:tcBorders>
              <w:top w:val="single" w:sz="4" w:space="0" w:color="auto"/>
              <w:left w:val="single" w:sz="4" w:space="0" w:color="auto"/>
              <w:bottom w:val="single" w:sz="4" w:space="0" w:color="auto"/>
              <w:right w:val="single" w:sz="4" w:space="0" w:color="auto"/>
            </w:tcBorders>
            <w:hideMark/>
          </w:tcPr>
          <w:p w:rsidR="00526642" w:rsidRPr="00FD45C6" w:rsidRDefault="00526642" w:rsidP="00FD45C6">
            <w:pPr>
              <w:pStyle w:val="NoSpacing"/>
              <w:rPr>
                <w:rFonts w:ascii="Arial" w:hAnsi="Arial"/>
                <w:b/>
                <w:sz w:val="20"/>
                <w:szCs w:val="20"/>
              </w:rPr>
            </w:pPr>
            <w:r w:rsidRPr="00FD45C6">
              <w:rPr>
                <w:b/>
                <w:sz w:val="20"/>
                <w:szCs w:val="20"/>
              </w:rPr>
              <w:t>Sometimes</w:t>
            </w:r>
          </w:p>
        </w:tc>
      </w:tr>
      <w:tr w:rsidR="00526642" w:rsidTr="002450E5">
        <w:trPr>
          <w:trHeight w:val="283"/>
        </w:trPr>
        <w:tc>
          <w:tcPr>
            <w:tcW w:w="6059" w:type="dxa"/>
            <w:tcBorders>
              <w:top w:val="single" w:sz="4" w:space="0" w:color="auto"/>
              <w:left w:val="single" w:sz="4" w:space="0" w:color="auto"/>
              <w:bottom w:val="single" w:sz="4" w:space="0" w:color="auto"/>
              <w:right w:val="single" w:sz="4" w:space="0" w:color="auto"/>
            </w:tcBorders>
            <w:vAlign w:val="center"/>
            <w:hideMark/>
          </w:tcPr>
          <w:p w:rsidR="00526642" w:rsidRPr="00FD45C6" w:rsidRDefault="00526642" w:rsidP="00FD45C6">
            <w:pPr>
              <w:pStyle w:val="NoSpacing"/>
              <w:rPr>
                <w:rFonts w:ascii="Arial" w:hAnsi="Arial"/>
                <w:sz w:val="20"/>
                <w:szCs w:val="20"/>
              </w:rPr>
            </w:pPr>
            <w:r w:rsidRPr="00FD45C6">
              <w:rPr>
                <w:sz w:val="20"/>
                <w:szCs w:val="20"/>
              </w:rPr>
              <w:t>Run out of basic food (not luxuries)</w:t>
            </w:r>
          </w:p>
        </w:tc>
        <w:tc>
          <w:tcPr>
            <w:tcW w:w="1275" w:type="dxa"/>
            <w:tcBorders>
              <w:top w:val="single" w:sz="4" w:space="0" w:color="auto"/>
              <w:left w:val="single" w:sz="4" w:space="0" w:color="auto"/>
              <w:bottom w:val="single" w:sz="4" w:space="0" w:color="auto"/>
              <w:right w:val="single" w:sz="4" w:space="0" w:color="auto"/>
            </w:tcBorders>
            <w:vAlign w:val="center"/>
            <w:hideMark/>
          </w:tcPr>
          <w:p w:rsidR="00526642" w:rsidRPr="00FD45C6" w:rsidRDefault="00526642" w:rsidP="00FD45C6">
            <w:pPr>
              <w:pStyle w:val="NoSpacing"/>
              <w:rPr>
                <w:rFonts w:ascii="Arial" w:hAnsi="Arial"/>
                <w:sz w:val="20"/>
                <w:szCs w:val="20"/>
              </w:rPr>
            </w:pPr>
            <w:r w:rsidRPr="00FD45C6">
              <w:rPr>
                <w:sz w:val="20"/>
                <w:szCs w:val="20"/>
              </w:rPr>
              <w:t>3.6</w:t>
            </w:r>
          </w:p>
        </w:tc>
        <w:tc>
          <w:tcPr>
            <w:tcW w:w="1381" w:type="dxa"/>
            <w:tcBorders>
              <w:top w:val="single" w:sz="4" w:space="0" w:color="auto"/>
              <w:left w:val="single" w:sz="4" w:space="0" w:color="auto"/>
              <w:bottom w:val="single" w:sz="4" w:space="0" w:color="auto"/>
              <w:right w:val="single" w:sz="4" w:space="0" w:color="auto"/>
            </w:tcBorders>
            <w:vAlign w:val="center"/>
            <w:hideMark/>
          </w:tcPr>
          <w:p w:rsidR="00526642" w:rsidRPr="00FD45C6" w:rsidRDefault="00526642" w:rsidP="00FD45C6">
            <w:pPr>
              <w:pStyle w:val="NoSpacing"/>
              <w:rPr>
                <w:rFonts w:ascii="Arial" w:hAnsi="Arial"/>
                <w:sz w:val="20"/>
                <w:szCs w:val="20"/>
              </w:rPr>
            </w:pPr>
            <w:r w:rsidRPr="00FD45C6">
              <w:rPr>
                <w:sz w:val="20"/>
                <w:szCs w:val="20"/>
              </w:rPr>
              <w:t>18.5</w:t>
            </w:r>
          </w:p>
        </w:tc>
      </w:tr>
      <w:tr w:rsidR="00526642" w:rsidTr="002450E5">
        <w:trPr>
          <w:trHeight w:val="283"/>
        </w:trPr>
        <w:tc>
          <w:tcPr>
            <w:tcW w:w="6059" w:type="dxa"/>
            <w:tcBorders>
              <w:top w:val="single" w:sz="4" w:space="0" w:color="auto"/>
              <w:left w:val="single" w:sz="4" w:space="0" w:color="auto"/>
              <w:bottom w:val="single" w:sz="4" w:space="0" w:color="auto"/>
              <w:right w:val="single" w:sz="4" w:space="0" w:color="auto"/>
            </w:tcBorders>
            <w:vAlign w:val="center"/>
            <w:hideMark/>
          </w:tcPr>
          <w:p w:rsidR="00526642" w:rsidRPr="00FD45C6" w:rsidRDefault="00526642" w:rsidP="00FD45C6">
            <w:pPr>
              <w:pStyle w:val="NoSpacing"/>
              <w:rPr>
                <w:rFonts w:ascii="Arial" w:hAnsi="Arial"/>
                <w:sz w:val="20"/>
                <w:szCs w:val="20"/>
              </w:rPr>
            </w:pPr>
            <w:r w:rsidRPr="00FD45C6">
              <w:rPr>
                <w:sz w:val="20"/>
                <w:szCs w:val="20"/>
              </w:rPr>
              <w:t>Have smaller meals than they would like or skip meals</w:t>
            </w:r>
          </w:p>
        </w:tc>
        <w:tc>
          <w:tcPr>
            <w:tcW w:w="1275" w:type="dxa"/>
            <w:tcBorders>
              <w:top w:val="single" w:sz="4" w:space="0" w:color="auto"/>
              <w:left w:val="single" w:sz="4" w:space="0" w:color="auto"/>
              <w:bottom w:val="single" w:sz="4" w:space="0" w:color="auto"/>
              <w:right w:val="single" w:sz="4" w:space="0" w:color="auto"/>
            </w:tcBorders>
            <w:vAlign w:val="center"/>
            <w:hideMark/>
          </w:tcPr>
          <w:p w:rsidR="00526642" w:rsidRPr="00FD45C6" w:rsidRDefault="00526642" w:rsidP="00FD45C6">
            <w:pPr>
              <w:pStyle w:val="NoSpacing"/>
              <w:rPr>
                <w:rFonts w:ascii="Arial" w:hAnsi="Arial"/>
                <w:sz w:val="20"/>
                <w:szCs w:val="20"/>
              </w:rPr>
            </w:pPr>
            <w:r w:rsidRPr="00FD45C6">
              <w:rPr>
                <w:sz w:val="20"/>
                <w:szCs w:val="20"/>
              </w:rPr>
              <w:t>2.8</w:t>
            </w:r>
          </w:p>
        </w:tc>
        <w:tc>
          <w:tcPr>
            <w:tcW w:w="1381" w:type="dxa"/>
            <w:tcBorders>
              <w:top w:val="single" w:sz="4" w:space="0" w:color="auto"/>
              <w:left w:val="single" w:sz="4" w:space="0" w:color="auto"/>
              <w:bottom w:val="single" w:sz="4" w:space="0" w:color="auto"/>
              <w:right w:val="single" w:sz="4" w:space="0" w:color="auto"/>
            </w:tcBorders>
            <w:vAlign w:val="center"/>
            <w:hideMark/>
          </w:tcPr>
          <w:p w:rsidR="00526642" w:rsidRPr="00FD45C6" w:rsidRDefault="00526642" w:rsidP="00FD45C6">
            <w:pPr>
              <w:pStyle w:val="NoSpacing"/>
              <w:rPr>
                <w:rFonts w:ascii="Arial" w:hAnsi="Arial"/>
                <w:sz w:val="20"/>
                <w:szCs w:val="20"/>
              </w:rPr>
            </w:pPr>
            <w:r w:rsidRPr="00FD45C6">
              <w:rPr>
                <w:sz w:val="20"/>
                <w:szCs w:val="20"/>
              </w:rPr>
              <w:t>15.3</w:t>
            </w:r>
          </w:p>
        </w:tc>
      </w:tr>
      <w:tr w:rsidR="00526642" w:rsidTr="002450E5">
        <w:trPr>
          <w:trHeight w:val="283"/>
        </w:trPr>
        <w:tc>
          <w:tcPr>
            <w:tcW w:w="6059" w:type="dxa"/>
            <w:tcBorders>
              <w:top w:val="single" w:sz="4" w:space="0" w:color="auto"/>
              <w:left w:val="single" w:sz="4" w:space="0" w:color="auto"/>
              <w:bottom w:val="single" w:sz="4" w:space="0" w:color="auto"/>
              <w:right w:val="single" w:sz="4" w:space="0" w:color="auto"/>
            </w:tcBorders>
            <w:vAlign w:val="center"/>
            <w:hideMark/>
          </w:tcPr>
          <w:p w:rsidR="00526642" w:rsidRPr="00FD45C6" w:rsidRDefault="00526642" w:rsidP="00FD45C6">
            <w:pPr>
              <w:pStyle w:val="NoSpacing"/>
              <w:rPr>
                <w:sz w:val="20"/>
                <w:szCs w:val="20"/>
              </w:rPr>
            </w:pPr>
            <w:r w:rsidRPr="00FD45C6">
              <w:rPr>
                <w:sz w:val="20"/>
                <w:szCs w:val="20"/>
              </w:rPr>
              <w:t>Have a more limited variety of foods than they want</w:t>
            </w:r>
          </w:p>
          <w:p w:rsidR="00526642" w:rsidRPr="00FD45C6" w:rsidRDefault="00526642" w:rsidP="00FD45C6">
            <w:pPr>
              <w:pStyle w:val="NoSpacing"/>
              <w:rPr>
                <w:rFonts w:ascii="Arial" w:hAnsi="Arial"/>
                <w:sz w:val="20"/>
                <w:szCs w:val="20"/>
              </w:rPr>
            </w:pPr>
            <w:r w:rsidRPr="00FD45C6">
              <w:rPr>
                <w:sz w:val="20"/>
                <w:szCs w:val="20"/>
              </w:rPr>
              <w:t>(This was not defined as basics, but rather what they would like to eat so was a less targeted as a question than the others.)</w:t>
            </w:r>
          </w:p>
        </w:tc>
        <w:tc>
          <w:tcPr>
            <w:tcW w:w="1275" w:type="dxa"/>
            <w:tcBorders>
              <w:top w:val="single" w:sz="4" w:space="0" w:color="auto"/>
              <w:left w:val="single" w:sz="4" w:space="0" w:color="auto"/>
              <w:bottom w:val="single" w:sz="4" w:space="0" w:color="auto"/>
              <w:right w:val="single" w:sz="4" w:space="0" w:color="auto"/>
            </w:tcBorders>
            <w:vAlign w:val="center"/>
            <w:hideMark/>
          </w:tcPr>
          <w:p w:rsidR="00526642" w:rsidRPr="00FD45C6" w:rsidRDefault="00526642" w:rsidP="00FD45C6">
            <w:pPr>
              <w:pStyle w:val="NoSpacing"/>
              <w:rPr>
                <w:rFonts w:ascii="Arial" w:hAnsi="Arial"/>
                <w:sz w:val="20"/>
                <w:szCs w:val="20"/>
              </w:rPr>
            </w:pPr>
            <w:r w:rsidRPr="00FD45C6">
              <w:rPr>
                <w:sz w:val="20"/>
                <w:szCs w:val="20"/>
              </w:rPr>
              <w:t>9.0</w:t>
            </w:r>
          </w:p>
        </w:tc>
        <w:tc>
          <w:tcPr>
            <w:tcW w:w="1381" w:type="dxa"/>
            <w:tcBorders>
              <w:top w:val="single" w:sz="4" w:space="0" w:color="auto"/>
              <w:left w:val="single" w:sz="4" w:space="0" w:color="auto"/>
              <w:bottom w:val="single" w:sz="4" w:space="0" w:color="auto"/>
              <w:right w:val="single" w:sz="4" w:space="0" w:color="auto"/>
            </w:tcBorders>
            <w:vAlign w:val="center"/>
            <w:hideMark/>
          </w:tcPr>
          <w:p w:rsidR="00526642" w:rsidRPr="00FD45C6" w:rsidRDefault="00526642" w:rsidP="00FD45C6">
            <w:pPr>
              <w:pStyle w:val="NoSpacing"/>
              <w:rPr>
                <w:rFonts w:ascii="Arial" w:hAnsi="Arial"/>
                <w:sz w:val="20"/>
                <w:szCs w:val="20"/>
              </w:rPr>
            </w:pPr>
            <w:r w:rsidRPr="00FD45C6">
              <w:rPr>
                <w:sz w:val="20"/>
                <w:szCs w:val="20"/>
              </w:rPr>
              <w:t>25.6</w:t>
            </w:r>
          </w:p>
        </w:tc>
      </w:tr>
      <w:tr w:rsidR="00526642" w:rsidTr="002450E5">
        <w:trPr>
          <w:trHeight w:val="283"/>
        </w:trPr>
        <w:tc>
          <w:tcPr>
            <w:tcW w:w="6059" w:type="dxa"/>
            <w:tcBorders>
              <w:top w:val="single" w:sz="4" w:space="0" w:color="auto"/>
              <w:left w:val="single" w:sz="4" w:space="0" w:color="auto"/>
              <w:bottom w:val="single" w:sz="4" w:space="0" w:color="auto"/>
              <w:right w:val="single" w:sz="4" w:space="0" w:color="auto"/>
            </w:tcBorders>
            <w:vAlign w:val="center"/>
            <w:hideMark/>
          </w:tcPr>
          <w:p w:rsidR="00526642" w:rsidRPr="00FD45C6" w:rsidRDefault="00526642" w:rsidP="00FD45C6">
            <w:pPr>
              <w:pStyle w:val="NoSpacing"/>
              <w:rPr>
                <w:rFonts w:ascii="Arial" w:hAnsi="Arial"/>
                <w:sz w:val="20"/>
                <w:szCs w:val="20"/>
              </w:rPr>
            </w:pPr>
            <w:r w:rsidRPr="00FD45C6">
              <w:rPr>
                <w:sz w:val="20"/>
                <w:szCs w:val="20"/>
              </w:rPr>
              <w:t>Rely on others for help</w:t>
            </w:r>
          </w:p>
        </w:tc>
        <w:tc>
          <w:tcPr>
            <w:tcW w:w="1275" w:type="dxa"/>
            <w:tcBorders>
              <w:top w:val="single" w:sz="4" w:space="0" w:color="auto"/>
              <w:left w:val="single" w:sz="4" w:space="0" w:color="auto"/>
              <w:bottom w:val="single" w:sz="4" w:space="0" w:color="auto"/>
              <w:right w:val="single" w:sz="4" w:space="0" w:color="auto"/>
            </w:tcBorders>
            <w:vAlign w:val="center"/>
            <w:hideMark/>
          </w:tcPr>
          <w:p w:rsidR="00526642" w:rsidRPr="00FD45C6" w:rsidRDefault="00526642" w:rsidP="00FD45C6">
            <w:pPr>
              <w:pStyle w:val="NoSpacing"/>
              <w:rPr>
                <w:rFonts w:ascii="Arial" w:hAnsi="Arial"/>
                <w:sz w:val="20"/>
                <w:szCs w:val="20"/>
              </w:rPr>
            </w:pPr>
            <w:r w:rsidRPr="00FD45C6">
              <w:rPr>
                <w:sz w:val="20"/>
                <w:szCs w:val="20"/>
              </w:rPr>
              <w:t>1.5</w:t>
            </w:r>
          </w:p>
        </w:tc>
        <w:tc>
          <w:tcPr>
            <w:tcW w:w="1381" w:type="dxa"/>
            <w:tcBorders>
              <w:top w:val="single" w:sz="4" w:space="0" w:color="auto"/>
              <w:left w:val="single" w:sz="4" w:space="0" w:color="auto"/>
              <w:bottom w:val="single" w:sz="4" w:space="0" w:color="auto"/>
              <w:right w:val="single" w:sz="4" w:space="0" w:color="auto"/>
            </w:tcBorders>
            <w:vAlign w:val="center"/>
            <w:hideMark/>
          </w:tcPr>
          <w:p w:rsidR="00526642" w:rsidRPr="00FD45C6" w:rsidRDefault="00526642" w:rsidP="00FD45C6">
            <w:pPr>
              <w:pStyle w:val="NoSpacing"/>
              <w:rPr>
                <w:rFonts w:ascii="Arial" w:hAnsi="Arial"/>
                <w:sz w:val="20"/>
                <w:szCs w:val="20"/>
              </w:rPr>
            </w:pPr>
            <w:r w:rsidRPr="00FD45C6">
              <w:rPr>
                <w:sz w:val="20"/>
                <w:szCs w:val="20"/>
              </w:rPr>
              <w:t>10.3</w:t>
            </w:r>
          </w:p>
        </w:tc>
      </w:tr>
      <w:tr w:rsidR="00526642" w:rsidTr="002450E5">
        <w:trPr>
          <w:trHeight w:val="283"/>
        </w:trPr>
        <w:tc>
          <w:tcPr>
            <w:tcW w:w="6059" w:type="dxa"/>
            <w:tcBorders>
              <w:top w:val="single" w:sz="4" w:space="0" w:color="auto"/>
              <w:left w:val="single" w:sz="4" w:space="0" w:color="auto"/>
              <w:bottom w:val="single" w:sz="4" w:space="0" w:color="auto"/>
              <w:right w:val="single" w:sz="4" w:space="0" w:color="auto"/>
            </w:tcBorders>
            <w:vAlign w:val="center"/>
            <w:hideMark/>
          </w:tcPr>
          <w:p w:rsidR="00526642" w:rsidRPr="00FD45C6" w:rsidRDefault="00526642" w:rsidP="00FD45C6">
            <w:pPr>
              <w:pStyle w:val="NoSpacing"/>
              <w:rPr>
                <w:rFonts w:ascii="Arial" w:hAnsi="Arial"/>
                <w:sz w:val="20"/>
                <w:szCs w:val="20"/>
              </w:rPr>
            </w:pPr>
            <w:r w:rsidRPr="00FD45C6">
              <w:rPr>
                <w:sz w:val="20"/>
                <w:szCs w:val="20"/>
              </w:rPr>
              <w:t>Use food grants/banks</w:t>
            </w:r>
          </w:p>
        </w:tc>
        <w:tc>
          <w:tcPr>
            <w:tcW w:w="1275" w:type="dxa"/>
            <w:tcBorders>
              <w:top w:val="single" w:sz="4" w:space="0" w:color="auto"/>
              <w:left w:val="single" w:sz="4" w:space="0" w:color="auto"/>
              <w:bottom w:val="single" w:sz="4" w:space="0" w:color="auto"/>
              <w:right w:val="single" w:sz="4" w:space="0" w:color="auto"/>
            </w:tcBorders>
            <w:vAlign w:val="center"/>
            <w:hideMark/>
          </w:tcPr>
          <w:p w:rsidR="00526642" w:rsidRPr="00FD45C6" w:rsidRDefault="00526642" w:rsidP="00FD45C6">
            <w:pPr>
              <w:pStyle w:val="NoSpacing"/>
              <w:rPr>
                <w:rFonts w:ascii="Arial" w:hAnsi="Arial"/>
                <w:sz w:val="20"/>
                <w:szCs w:val="20"/>
              </w:rPr>
            </w:pPr>
            <w:r w:rsidRPr="00FD45C6">
              <w:rPr>
                <w:sz w:val="20"/>
                <w:szCs w:val="20"/>
              </w:rPr>
              <w:t>0.8</w:t>
            </w:r>
          </w:p>
        </w:tc>
        <w:tc>
          <w:tcPr>
            <w:tcW w:w="1381" w:type="dxa"/>
            <w:tcBorders>
              <w:top w:val="single" w:sz="4" w:space="0" w:color="auto"/>
              <w:left w:val="single" w:sz="4" w:space="0" w:color="auto"/>
              <w:bottom w:val="single" w:sz="4" w:space="0" w:color="auto"/>
              <w:right w:val="single" w:sz="4" w:space="0" w:color="auto"/>
            </w:tcBorders>
            <w:vAlign w:val="center"/>
            <w:hideMark/>
          </w:tcPr>
          <w:p w:rsidR="00526642" w:rsidRPr="00FD45C6" w:rsidRDefault="00526642" w:rsidP="00FD45C6">
            <w:pPr>
              <w:pStyle w:val="NoSpacing"/>
              <w:rPr>
                <w:rFonts w:ascii="Arial" w:hAnsi="Arial"/>
                <w:sz w:val="20"/>
                <w:szCs w:val="20"/>
              </w:rPr>
            </w:pPr>
            <w:r w:rsidRPr="00FD45C6">
              <w:rPr>
                <w:sz w:val="20"/>
                <w:szCs w:val="20"/>
              </w:rPr>
              <w:t>8.6</w:t>
            </w:r>
          </w:p>
        </w:tc>
      </w:tr>
      <w:tr w:rsidR="00526642" w:rsidTr="002450E5">
        <w:trPr>
          <w:trHeight w:val="283"/>
        </w:trPr>
        <w:tc>
          <w:tcPr>
            <w:tcW w:w="6059" w:type="dxa"/>
            <w:tcBorders>
              <w:top w:val="single" w:sz="4" w:space="0" w:color="auto"/>
              <w:left w:val="single" w:sz="4" w:space="0" w:color="auto"/>
              <w:bottom w:val="single" w:sz="4" w:space="0" w:color="auto"/>
              <w:right w:val="single" w:sz="4" w:space="0" w:color="auto"/>
            </w:tcBorders>
            <w:vAlign w:val="center"/>
            <w:hideMark/>
          </w:tcPr>
          <w:p w:rsidR="00526642" w:rsidRPr="00FD45C6" w:rsidRDefault="00526642" w:rsidP="00FD45C6">
            <w:pPr>
              <w:pStyle w:val="NoSpacing"/>
              <w:rPr>
                <w:rFonts w:ascii="Arial" w:hAnsi="Arial"/>
                <w:sz w:val="20"/>
                <w:szCs w:val="20"/>
              </w:rPr>
            </w:pPr>
            <w:r w:rsidRPr="00FD45C6">
              <w:rPr>
                <w:sz w:val="20"/>
                <w:szCs w:val="20"/>
              </w:rPr>
              <w:t>Are stressed about lack of money for food</w:t>
            </w:r>
          </w:p>
        </w:tc>
        <w:tc>
          <w:tcPr>
            <w:tcW w:w="1275" w:type="dxa"/>
            <w:tcBorders>
              <w:top w:val="single" w:sz="4" w:space="0" w:color="auto"/>
              <w:left w:val="single" w:sz="4" w:space="0" w:color="auto"/>
              <w:bottom w:val="single" w:sz="4" w:space="0" w:color="auto"/>
              <w:right w:val="single" w:sz="4" w:space="0" w:color="auto"/>
            </w:tcBorders>
            <w:vAlign w:val="center"/>
            <w:hideMark/>
          </w:tcPr>
          <w:p w:rsidR="00526642" w:rsidRPr="00FD45C6" w:rsidRDefault="00526642" w:rsidP="00FD45C6">
            <w:pPr>
              <w:pStyle w:val="NoSpacing"/>
              <w:rPr>
                <w:rFonts w:ascii="Arial" w:hAnsi="Arial"/>
                <w:sz w:val="20"/>
                <w:szCs w:val="20"/>
              </w:rPr>
            </w:pPr>
            <w:r w:rsidRPr="00FD45C6">
              <w:rPr>
                <w:sz w:val="20"/>
                <w:szCs w:val="20"/>
              </w:rPr>
              <w:t>6.4</w:t>
            </w:r>
          </w:p>
        </w:tc>
        <w:tc>
          <w:tcPr>
            <w:tcW w:w="1381" w:type="dxa"/>
            <w:tcBorders>
              <w:top w:val="single" w:sz="4" w:space="0" w:color="auto"/>
              <w:left w:val="single" w:sz="4" w:space="0" w:color="auto"/>
              <w:bottom w:val="single" w:sz="4" w:space="0" w:color="auto"/>
              <w:right w:val="single" w:sz="4" w:space="0" w:color="auto"/>
            </w:tcBorders>
            <w:vAlign w:val="center"/>
            <w:hideMark/>
          </w:tcPr>
          <w:p w:rsidR="00526642" w:rsidRPr="00FD45C6" w:rsidRDefault="00526642" w:rsidP="00FD45C6">
            <w:pPr>
              <w:pStyle w:val="NoSpacing"/>
              <w:rPr>
                <w:rFonts w:ascii="Arial" w:hAnsi="Arial"/>
                <w:sz w:val="20"/>
                <w:szCs w:val="20"/>
              </w:rPr>
            </w:pPr>
            <w:r w:rsidRPr="00FD45C6">
              <w:rPr>
                <w:sz w:val="20"/>
                <w:szCs w:val="20"/>
              </w:rPr>
              <w:t>18.1</w:t>
            </w:r>
          </w:p>
        </w:tc>
      </w:tr>
      <w:tr w:rsidR="00526642" w:rsidTr="002450E5">
        <w:trPr>
          <w:trHeight w:val="283"/>
        </w:trPr>
        <w:tc>
          <w:tcPr>
            <w:tcW w:w="6059" w:type="dxa"/>
            <w:tcBorders>
              <w:top w:val="single" w:sz="4" w:space="0" w:color="auto"/>
              <w:left w:val="single" w:sz="4" w:space="0" w:color="auto"/>
              <w:bottom w:val="single" w:sz="4" w:space="0" w:color="auto"/>
              <w:right w:val="single" w:sz="4" w:space="0" w:color="auto"/>
            </w:tcBorders>
            <w:vAlign w:val="center"/>
            <w:hideMark/>
          </w:tcPr>
          <w:p w:rsidR="00526642" w:rsidRPr="00FD45C6" w:rsidRDefault="00526642" w:rsidP="00FD45C6">
            <w:pPr>
              <w:pStyle w:val="NoSpacing"/>
              <w:rPr>
                <w:rFonts w:ascii="Arial" w:hAnsi="Arial"/>
                <w:sz w:val="20"/>
                <w:szCs w:val="20"/>
              </w:rPr>
            </w:pPr>
            <w:r w:rsidRPr="00FD45C6">
              <w:rPr>
                <w:sz w:val="20"/>
                <w:szCs w:val="20"/>
              </w:rPr>
              <w:t>Have been embarrassed when no food for social occasions</w:t>
            </w:r>
          </w:p>
        </w:tc>
        <w:tc>
          <w:tcPr>
            <w:tcW w:w="1275" w:type="dxa"/>
            <w:tcBorders>
              <w:top w:val="single" w:sz="4" w:space="0" w:color="auto"/>
              <w:left w:val="single" w:sz="4" w:space="0" w:color="auto"/>
              <w:bottom w:val="single" w:sz="4" w:space="0" w:color="auto"/>
              <w:right w:val="single" w:sz="4" w:space="0" w:color="auto"/>
            </w:tcBorders>
            <w:vAlign w:val="center"/>
            <w:hideMark/>
          </w:tcPr>
          <w:p w:rsidR="00526642" w:rsidRPr="00FD45C6" w:rsidRDefault="00526642" w:rsidP="00FD45C6">
            <w:pPr>
              <w:pStyle w:val="NoSpacing"/>
              <w:rPr>
                <w:rFonts w:ascii="Arial" w:hAnsi="Arial"/>
                <w:sz w:val="20"/>
                <w:szCs w:val="20"/>
              </w:rPr>
            </w:pPr>
            <w:r w:rsidRPr="00FD45C6">
              <w:rPr>
                <w:sz w:val="20"/>
                <w:szCs w:val="20"/>
              </w:rPr>
              <w:t>3.3</w:t>
            </w:r>
          </w:p>
        </w:tc>
        <w:tc>
          <w:tcPr>
            <w:tcW w:w="1381" w:type="dxa"/>
            <w:tcBorders>
              <w:top w:val="single" w:sz="4" w:space="0" w:color="auto"/>
              <w:left w:val="single" w:sz="4" w:space="0" w:color="auto"/>
              <w:bottom w:val="single" w:sz="4" w:space="0" w:color="auto"/>
              <w:right w:val="single" w:sz="4" w:space="0" w:color="auto"/>
            </w:tcBorders>
            <w:vAlign w:val="center"/>
            <w:hideMark/>
          </w:tcPr>
          <w:p w:rsidR="00526642" w:rsidRPr="00FD45C6" w:rsidRDefault="00526642" w:rsidP="00FD45C6">
            <w:pPr>
              <w:pStyle w:val="NoSpacing"/>
              <w:rPr>
                <w:rFonts w:ascii="Arial" w:hAnsi="Arial"/>
                <w:sz w:val="20"/>
                <w:szCs w:val="20"/>
              </w:rPr>
            </w:pPr>
            <w:r w:rsidRPr="00FD45C6">
              <w:rPr>
                <w:sz w:val="20"/>
                <w:szCs w:val="20"/>
              </w:rPr>
              <w:t>16.9</w:t>
            </w:r>
          </w:p>
        </w:tc>
      </w:tr>
    </w:tbl>
    <w:p w:rsidR="00526642" w:rsidRDefault="00526642" w:rsidP="002450E5">
      <w:pPr>
        <w:autoSpaceDE w:val="0"/>
        <w:autoSpaceDN w:val="0"/>
        <w:adjustRightInd w:val="0"/>
        <w:ind w:left="720"/>
        <w:rPr>
          <w:rFonts w:cs="Arial"/>
        </w:rPr>
      </w:pPr>
    </w:p>
    <w:p w:rsidR="00526642" w:rsidRPr="00526642" w:rsidRDefault="00EA3F22" w:rsidP="00B619A3">
      <w:pPr>
        <w:autoSpaceDE w:val="0"/>
        <w:autoSpaceDN w:val="0"/>
        <w:adjustRightInd w:val="0"/>
        <w:ind w:left="720" w:hanging="720"/>
        <w:rPr>
          <w:rFonts w:ascii="Arial" w:hAnsi="Arial" w:cs="Arial"/>
          <w:sz w:val="18"/>
          <w:szCs w:val="18"/>
        </w:rPr>
      </w:pPr>
      <w:r>
        <w:rPr>
          <w:rFonts w:cs="Arial"/>
        </w:rPr>
        <w:t>71</w:t>
      </w:r>
      <w:r w:rsidR="00B619A3">
        <w:rPr>
          <w:rFonts w:cs="Arial"/>
        </w:rPr>
        <w:tab/>
      </w:r>
      <w:r w:rsidR="00526642" w:rsidRPr="00526642">
        <w:rPr>
          <w:rFonts w:cs="Arial"/>
        </w:rPr>
        <w:t xml:space="preserve">From this </w:t>
      </w:r>
      <w:r w:rsidR="00526642">
        <w:rPr>
          <w:rFonts w:cs="Arial"/>
        </w:rPr>
        <w:t xml:space="preserve"> you can </w:t>
      </w:r>
      <w:r w:rsidR="00526642" w:rsidRPr="00526642">
        <w:rPr>
          <w:rFonts w:cs="Arial"/>
        </w:rPr>
        <w:t>infer that most of the 20.1 percent of households only lacked food intermittently, but between 3 and 6 percent of households had levels of food insecurity that were likely to significantly impact on their well-being. The rates for severe food insecurity fo</w:t>
      </w:r>
      <w:r w:rsidR="00143B6D">
        <w:rPr>
          <w:rFonts w:cs="Arial"/>
        </w:rPr>
        <w:t>r some specific</w:t>
      </w:r>
      <w:r w:rsidR="00526642" w:rsidRPr="00526642">
        <w:rPr>
          <w:rFonts w:cs="Arial"/>
        </w:rPr>
        <w:t xml:space="preserve"> </w:t>
      </w:r>
      <w:r w:rsidR="00526642">
        <w:rPr>
          <w:rFonts w:cs="Arial"/>
        </w:rPr>
        <w:t xml:space="preserve">populations </w:t>
      </w:r>
      <w:r w:rsidR="00526642" w:rsidRPr="00526642">
        <w:rPr>
          <w:rFonts w:cs="Arial"/>
        </w:rPr>
        <w:t>were:</w:t>
      </w:r>
    </w:p>
    <w:p w:rsidR="00526642" w:rsidRDefault="002450E5" w:rsidP="003866C7">
      <w:pPr>
        <w:pStyle w:val="ListParagraph"/>
        <w:numPr>
          <w:ilvl w:val="0"/>
          <w:numId w:val="11"/>
        </w:numPr>
        <w:autoSpaceDE w:val="0"/>
        <w:autoSpaceDN w:val="0"/>
        <w:adjustRightInd w:val="0"/>
        <w:contextualSpacing/>
        <w:rPr>
          <w:rFonts w:cs="Arial"/>
        </w:rPr>
      </w:pPr>
      <w:r>
        <w:rPr>
          <w:rFonts w:cs="Arial"/>
        </w:rPr>
        <w:t>h</w:t>
      </w:r>
      <w:r w:rsidR="00526642">
        <w:rPr>
          <w:rFonts w:cs="Arial"/>
        </w:rPr>
        <w:t>igh depriv</w:t>
      </w:r>
      <w:r w:rsidR="00F67F24">
        <w:rPr>
          <w:rFonts w:cs="Arial"/>
        </w:rPr>
        <w:t xml:space="preserve">ation areas (a rate of 8 to 15 </w:t>
      </w:r>
      <w:r w:rsidR="001840A0">
        <w:rPr>
          <w:rFonts w:cs="Arial"/>
        </w:rPr>
        <w:t>%</w:t>
      </w:r>
      <w:r w:rsidR="00526642">
        <w:rPr>
          <w:rFonts w:cs="Arial"/>
        </w:rPr>
        <w:t xml:space="preserve">); </w:t>
      </w:r>
    </w:p>
    <w:p w:rsidR="00526642" w:rsidRDefault="001840A0" w:rsidP="003866C7">
      <w:pPr>
        <w:pStyle w:val="ListParagraph"/>
        <w:numPr>
          <w:ilvl w:val="1"/>
          <w:numId w:val="10"/>
        </w:numPr>
        <w:autoSpaceDE w:val="0"/>
        <w:autoSpaceDN w:val="0"/>
        <w:adjustRightInd w:val="0"/>
        <w:contextualSpacing/>
        <w:rPr>
          <w:rFonts w:cs="Arial"/>
        </w:rPr>
      </w:pPr>
      <w:r>
        <w:rPr>
          <w:rFonts w:cs="Arial"/>
        </w:rPr>
        <w:t>Maori (6 to 12 %</w:t>
      </w:r>
      <w:r w:rsidR="00526642">
        <w:rPr>
          <w:rFonts w:cs="Arial"/>
        </w:rPr>
        <w:t>); and</w:t>
      </w:r>
    </w:p>
    <w:p w:rsidR="0037201D" w:rsidRDefault="002450E5" w:rsidP="003866C7">
      <w:pPr>
        <w:pStyle w:val="ListParagraph"/>
        <w:numPr>
          <w:ilvl w:val="1"/>
          <w:numId w:val="10"/>
        </w:numPr>
        <w:autoSpaceDE w:val="0"/>
        <w:autoSpaceDN w:val="0"/>
        <w:adjustRightInd w:val="0"/>
        <w:spacing w:line="360" w:lineRule="auto"/>
        <w:contextualSpacing/>
        <w:rPr>
          <w:rFonts w:cs="Arial"/>
        </w:rPr>
      </w:pPr>
      <w:r>
        <w:rPr>
          <w:rFonts w:cs="Arial"/>
        </w:rPr>
        <w:t>l</w:t>
      </w:r>
      <w:r w:rsidR="00526642">
        <w:rPr>
          <w:rFonts w:cs="Arial"/>
        </w:rPr>
        <w:t>arger families (more than five children 6 to 13</w:t>
      </w:r>
      <w:r w:rsidR="001840A0">
        <w:rPr>
          <w:rFonts w:cs="Arial"/>
        </w:rPr>
        <w:t xml:space="preserve"> %</w:t>
      </w:r>
      <w:r w:rsidR="00526642">
        <w:rPr>
          <w:rFonts w:cs="Arial"/>
        </w:rPr>
        <w:t>).</w:t>
      </w:r>
    </w:p>
    <w:p w:rsidR="0037201D" w:rsidRDefault="0037201D" w:rsidP="0037201D">
      <w:pPr>
        <w:pStyle w:val="ListParagraph"/>
        <w:autoSpaceDE w:val="0"/>
        <w:autoSpaceDN w:val="0"/>
        <w:adjustRightInd w:val="0"/>
        <w:ind w:left="360"/>
        <w:contextualSpacing/>
        <w:rPr>
          <w:rFonts w:cs="Arial"/>
        </w:rPr>
      </w:pPr>
    </w:p>
    <w:p w:rsidR="00F3497D" w:rsidRPr="00FD45C6" w:rsidRDefault="00EA3F22" w:rsidP="00FD45C6">
      <w:pPr>
        <w:autoSpaceDE w:val="0"/>
        <w:autoSpaceDN w:val="0"/>
        <w:adjustRightInd w:val="0"/>
        <w:contextualSpacing/>
        <w:rPr>
          <w:rFonts w:cs="Arial"/>
        </w:rPr>
      </w:pPr>
      <w:r>
        <w:rPr>
          <w:rFonts w:cs="Arial"/>
        </w:rPr>
        <w:t>72</w:t>
      </w:r>
      <w:r w:rsidR="00B619A3">
        <w:rPr>
          <w:rFonts w:cs="Arial"/>
        </w:rPr>
        <w:tab/>
      </w:r>
      <w:r w:rsidR="0037201D">
        <w:rPr>
          <w:rFonts w:cs="Arial"/>
        </w:rPr>
        <w:t xml:space="preserve">Further </w:t>
      </w:r>
      <w:r w:rsidR="00307A37">
        <w:rPr>
          <w:rFonts w:cs="Arial"/>
        </w:rPr>
        <w:t xml:space="preserve">a </w:t>
      </w:r>
      <w:r w:rsidR="00330D5E">
        <w:rPr>
          <w:rFonts w:cs="Arial"/>
        </w:rPr>
        <w:t xml:space="preserve">researcher </w:t>
      </w:r>
      <w:r w:rsidR="00330D5E" w:rsidRPr="0037201D">
        <w:rPr>
          <w:rFonts w:cs="Arial"/>
        </w:rPr>
        <w:t>from</w:t>
      </w:r>
      <w:r w:rsidR="00F3497D" w:rsidRPr="0037201D">
        <w:rPr>
          <w:rFonts w:cs="Arial"/>
        </w:rPr>
        <w:t xml:space="preserve"> this study was recently quoted:</w:t>
      </w:r>
    </w:p>
    <w:p w:rsidR="00F3497D" w:rsidRPr="002450E5" w:rsidRDefault="00B619A3" w:rsidP="002450E5">
      <w:pPr>
        <w:pStyle w:val="ListParagraph"/>
        <w:autoSpaceDE w:val="0"/>
        <w:autoSpaceDN w:val="0"/>
        <w:adjustRightInd w:val="0"/>
        <w:ind w:hanging="11"/>
        <w:rPr>
          <w:rFonts w:cs="Arial"/>
        </w:rPr>
      </w:pPr>
      <w:r>
        <w:rPr>
          <w:rFonts w:cs="Arial"/>
        </w:rPr>
        <w:t>“</w:t>
      </w:r>
      <w:r w:rsidR="00F3497D">
        <w:rPr>
          <w:rFonts w:cs="Arial"/>
        </w:rPr>
        <w:t>Otago University human nutrition and poverty professor Winsome Parnell, said a 2002 survey that she held helped the Health Ministry with, found that 5, 6 and 7 year</w:t>
      </w:r>
      <w:r w:rsidR="0037201D">
        <w:rPr>
          <w:rFonts w:cs="Arial"/>
        </w:rPr>
        <w:t xml:space="preserve"> olds had “pretty good” diets.  </w:t>
      </w:r>
      <w:r w:rsidR="00F3497D" w:rsidRPr="0037201D">
        <w:rPr>
          <w:rFonts w:cs="Arial"/>
        </w:rPr>
        <w:t>She was concerned that a blanket provision of food to lower-decile schools would erode parental responsibility. “Parents should be given the means and dignity to feed their children”, she said. “The Government should be making sure families can afford to feed their children themselves.”</w:t>
      </w:r>
      <w:r w:rsidR="002450E5">
        <w:rPr>
          <w:rFonts w:cs="Arial"/>
        </w:rPr>
        <w:t xml:space="preserve"> </w:t>
      </w:r>
      <w:r w:rsidR="00F3497D" w:rsidRPr="002450E5">
        <w:rPr>
          <w:rFonts w:cs="Arial"/>
          <w:i/>
        </w:rPr>
        <w:t>Dominion Post</w:t>
      </w:r>
      <w:r w:rsidR="00F3497D" w:rsidRPr="002450E5">
        <w:rPr>
          <w:rFonts w:cs="Arial"/>
        </w:rPr>
        <w:t>, September 11, 2012.</w:t>
      </w:r>
    </w:p>
    <w:p w:rsidR="00F3497D" w:rsidRDefault="00F3497D" w:rsidP="00F3497D">
      <w:pPr>
        <w:pStyle w:val="ListParagraph"/>
        <w:rPr>
          <w:rFonts w:cs="Arial"/>
        </w:rPr>
      </w:pPr>
    </w:p>
    <w:p w:rsidR="00B619A3" w:rsidRDefault="00EA3F22" w:rsidP="00B619A3">
      <w:pPr>
        <w:autoSpaceDE w:val="0"/>
        <w:autoSpaceDN w:val="0"/>
        <w:adjustRightInd w:val="0"/>
        <w:ind w:left="720" w:hanging="720"/>
        <w:contextualSpacing/>
        <w:rPr>
          <w:rFonts w:cs="Arial"/>
        </w:rPr>
      </w:pPr>
      <w:r>
        <w:rPr>
          <w:rFonts w:cs="Arial"/>
        </w:rPr>
        <w:t>73</w:t>
      </w:r>
      <w:r w:rsidR="00B619A3">
        <w:rPr>
          <w:rFonts w:cs="Arial"/>
        </w:rPr>
        <w:tab/>
      </w:r>
      <w:r w:rsidR="00BF7D42">
        <w:rPr>
          <w:rFonts w:cs="Arial"/>
        </w:rPr>
        <w:t>One can</w:t>
      </w:r>
      <w:r w:rsidR="00F3497D" w:rsidRPr="0037201D">
        <w:rPr>
          <w:rFonts w:cs="Arial"/>
        </w:rPr>
        <w:t xml:space="preserve"> </w:t>
      </w:r>
      <w:r w:rsidR="00756D8C">
        <w:rPr>
          <w:rFonts w:cs="Arial"/>
        </w:rPr>
        <w:t xml:space="preserve">take </w:t>
      </w:r>
      <w:r w:rsidR="00CE41BF">
        <w:rPr>
          <w:rFonts w:cs="Arial"/>
        </w:rPr>
        <w:t>from the research to date</w:t>
      </w:r>
      <w:r w:rsidR="00F3497D" w:rsidRPr="0037201D">
        <w:rPr>
          <w:rFonts w:cs="Arial"/>
        </w:rPr>
        <w:t xml:space="preserve"> that a lack of food in the home is not likely to be the root cause of a lack of breakfast, </w:t>
      </w:r>
      <w:r w:rsidR="00E624D3">
        <w:rPr>
          <w:rFonts w:cs="Arial"/>
        </w:rPr>
        <w:t xml:space="preserve">only </w:t>
      </w:r>
      <w:r w:rsidR="00F3497D" w:rsidRPr="0037201D">
        <w:rPr>
          <w:rFonts w:cs="Arial"/>
        </w:rPr>
        <w:t xml:space="preserve">in a </w:t>
      </w:r>
      <w:r w:rsidR="00FF742F">
        <w:rPr>
          <w:rFonts w:cs="Arial"/>
        </w:rPr>
        <w:t xml:space="preserve">small </w:t>
      </w:r>
      <w:r w:rsidR="00F3497D" w:rsidRPr="0037201D">
        <w:rPr>
          <w:rFonts w:cs="Arial"/>
        </w:rPr>
        <w:t xml:space="preserve">minority of cases. </w:t>
      </w:r>
      <w:r w:rsidR="00F67F24">
        <w:rPr>
          <w:rFonts w:cs="Arial"/>
        </w:rPr>
        <w:t xml:space="preserve">In </w:t>
      </w:r>
      <w:r w:rsidR="00F3497D" w:rsidRPr="0037201D">
        <w:rPr>
          <w:rFonts w:cs="Arial"/>
        </w:rPr>
        <w:t xml:space="preserve">some cases there may be cultural </w:t>
      </w:r>
      <w:r w:rsidR="00A34C78">
        <w:rPr>
          <w:rFonts w:cs="Arial"/>
        </w:rPr>
        <w:t xml:space="preserve">causes </w:t>
      </w:r>
      <w:r w:rsidR="00F3497D" w:rsidRPr="0037201D">
        <w:rPr>
          <w:rFonts w:cs="Arial"/>
        </w:rPr>
        <w:t xml:space="preserve">why children lack breakfast, and in others it may be a matter of parent’s priorities. </w:t>
      </w:r>
      <w:r w:rsidR="0037201D">
        <w:t xml:space="preserve">In summary, </w:t>
      </w:r>
      <w:r w:rsidR="00F67F24">
        <w:t xml:space="preserve">however, </w:t>
      </w:r>
      <w:r w:rsidR="0037201D" w:rsidRPr="0037201D">
        <w:rPr>
          <w:rFonts w:cs="Arial"/>
        </w:rPr>
        <w:t>the data does not sug</w:t>
      </w:r>
      <w:r w:rsidR="0037201D">
        <w:rPr>
          <w:rFonts w:cs="Arial"/>
        </w:rPr>
        <w:t>gest that there is a widespread or</w:t>
      </w:r>
      <w:r w:rsidR="0037201D" w:rsidRPr="0037201D">
        <w:rPr>
          <w:rFonts w:cs="Arial"/>
        </w:rPr>
        <w:t xml:space="preserve"> systemic problem</w:t>
      </w:r>
      <w:r w:rsidR="00E624D3">
        <w:rPr>
          <w:rFonts w:cs="Arial"/>
        </w:rPr>
        <w:t xml:space="preserve"> in New Zealand</w:t>
      </w:r>
      <w:r w:rsidR="0037201D">
        <w:rPr>
          <w:rFonts w:cs="Arial"/>
        </w:rPr>
        <w:t>.</w:t>
      </w:r>
    </w:p>
    <w:p w:rsidR="00B619A3" w:rsidRPr="00B619A3" w:rsidRDefault="00B619A3" w:rsidP="0037201D">
      <w:pPr>
        <w:autoSpaceDE w:val="0"/>
        <w:autoSpaceDN w:val="0"/>
        <w:adjustRightInd w:val="0"/>
        <w:contextualSpacing/>
        <w:rPr>
          <w:rFonts w:cs="Arial"/>
        </w:rPr>
      </w:pPr>
    </w:p>
    <w:p w:rsidR="00013939" w:rsidRDefault="00EA3F22" w:rsidP="00013939">
      <w:pPr>
        <w:spacing w:before="100" w:beforeAutospacing="1" w:after="100" w:afterAutospacing="1"/>
        <w:ind w:left="720" w:hanging="720"/>
        <w:rPr>
          <w:rFonts w:eastAsia="Times New Roman" w:cstheme="minorHAnsi"/>
          <w:lang w:val="en" w:eastAsia="en-NZ"/>
        </w:rPr>
      </w:pPr>
      <w:r>
        <w:t>74</w:t>
      </w:r>
      <w:r w:rsidR="00B619A3">
        <w:tab/>
      </w:r>
      <w:r w:rsidR="00F3497D">
        <w:t xml:space="preserve">In almost all western countries, providing food in schools has ended up as a major </w:t>
      </w:r>
      <w:r w:rsidR="00A34C78">
        <w:t xml:space="preserve">cost to </w:t>
      </w:r>
      <w:r w:rsidR="00F3497D">
        <w:t>government, costing between 10 and 25 per</w:t>
      </w:r>
      <w:r w:rsidR="00A34C78">
        <w:t xml:space="preserve"> </w:t>
      </w:r>
      <w:r w:rsidR="00F3497D">
        <w:t xml:space="preserve">cent of the </w:t>
      </w:r>
      <w:r w:rsidR="00A34C78">
        <w:t xml:space="preserve">total </w:t>
      </w:r>
      <w:r w:rsidR="00F3497D">
        <w:t xml:space="preserve">cost of running the </w:t>
      </w:r>
      <w:r w:rsidR="00A34C78">
        <w:t xml:space="preserve">entire </w:t>
      </w:r>
      <w:r w:rsidR="00F3497D">
        <w:t>primary school</w:t>
      </w:r>
      <w:r w:rsidR="00A34C78">
        <w:t xml:space="preserve"> sector</w:t>
      </w:r>
      <w:r w:rsidR="0037201D">
        <w:t>, see, “</w:t>
      </w:r>
      <w:r w:rsidR="0037201D" w:rsidRPr="00FD45C6">
        <w:rPr>
          <w:i/>
        </w:rPr>
        <w:t>Rethinking School Feeding: Social Safety Nets</w:t>
      </w:r>
      <w:r w:rsidR="0037201D">
        <w:t xml:space="preserve">”, </w:t>
      </w:r>
      <w:r w:rsidR="00A34C78">
        <w:t xml:space="preserve">World Bank, </w:t>
      </w:r>
      <w:r w:rsidR="0037201D">
        <w:t xml:space="preserve">(2009). </w:t>
      </w:r>
      <w:r w:rsidR="00B619A3">
        <w:t xml:space="preserve">This would be a significant </w:t>
      </w:r>
      <w:r w:rsidR="00FD45C6" w:rsidRPr="003518C0">
        <w:rPr>
          <w:u w:val="single"/>
        </w:rPr>
        <w:t>new</w:t>
      </w:r>
      <w:r w:rsidR="00FD45C6">
        <w:t xml:space="preserve"> </w:t>
      </w:r>
      <w:r w:rsidR="00B619A3">
        <w:t>investment</w:t>
      </w:r>
      <w:r w:rsidR="007D40C1">
        <w:t xml:space="preserve"> In New Zealand</w:t>
      </w:r>
      <w:r w:rsidR="004418BB">
        <w:t xml:space="preserve"> when other </w:t>
      </w:r>
      <w:r w:rsidR="004418BB">
        <w:lastRenderedPageBreak/>
        <w:t>improvements</w:t>
      </w:r>
      <w:r w:rsidR="00013939">
        <w:t xml:space="preserve"> to the early childhood and schooling system may produce </w:t>
      </w:r>
      <w:r w:rsidR="00096065">
        <w:t xml:space="preserve">better </w:t>
      </w:r>
      <w:r w:rsidR="00013939">
        <w:t>outcomes for learners</w:t>
      </w:r>
      <w:r w:rsidR="00F67F24">
        <w:t>.</w:t>
      </w:r>
      <w:r w:rsidR="00013939">
        <w:t xml:space="preserve"> </w:t>
      </w:r>
      <w:r w:rsidR="00013939">
        <w:rPr>
          <w:rFonts w:eastAsia="Times New Roman" w:cstheme="minorHAnsi"/>
          <w:lang w:val="en" w:eastAsia="en-NZ"/>
        </w:rPr>
        <w:t xml:space="preserve">It is generally accepted that the most effective investments in schooling include: </w:t>
      </w:r>
    </w:p>
    <w:p w:rsidR="00013939" w:rsidRDefault="00013939" w:rsidP="003866C7">
      <w:pPr>
        <w:numPr>
          <w:ilvl w:val="0"/>
          <w:numId w:val="18"/>
        </w:numPr>
        <w:spacing w:before="100" w:beforeAutospacing="1" w:after="100" w:afterAutospacing="1" w:line="240" w:lineRule="auto"/>
        <w:rPr>
          <w:rFonts w:eastAsia="Times New Roman" w:cstheme="minorHAnsi"/>
          <w:lang w:val="en" w:eastAsia="en-NZ"/>
        </w:rPr>
      </w:pPr>
      <w:r>
        <w:rPr>
          <w:rFonts w:eastAsia="Times New Roman" w:cstheme="minorHAnsi"/>
          <w:lang w:val="en" w:eastAsia="en-NZ"/>
        </w:rPr>
        <w:t xml:space="preserve">high quality teacher training and professional development; </w:t>
      </w:r>
    </w:p>
    <w:p w:rsidR="00013939" w:rsidRDefault="00013939" w:rsidP="003866C7">
      <w:pPr>
        <w:numPr>
          <w:ilvl w:val="0"/>
          <w:numId w:val="18"/>
        </w:numPr>
        <w:spacing w:before="100" w:beforeAutospacing="1" w:after="100" w:afterAutospacing="1" w:line="240" w:lineRule="auto"/>
        <w:rPr>
          <w:rFonts w:eastAsia="Times New Roman" w:cstheme="minorHAnsi"/>
          <w:lang w:val="en" w:eastAsia="en-NZ"/>
        </w:rPr>
      </w:pPr>
      <w:r>
        <w:rPr>
          <w:rFonts w:eastAsia="Times New Roman" w:cstheme="minorHAnsi"/>
          <w:lang w:val="en" w:eastAsia="en-NZ"/>
        </w:rPr>
        <w:t xml:space="preserve">effective systems to identify and respond with extra support when students are at risk of falling behind; </w:t>
      </w:r>
    </w:p>
    <w:p w:rsidR="00013939" w:rsidRDefault="00013939" w:rsidP="003866C7">
      <w:pPr>
        <w:numPr>
          <w:ilvl w:val="0"/>
          <w:numId w:val="18"/>
        </w:numPr>
        <w:spacing w:before="100" w:beforeAutospacing="1" w:after="100" w:afterAutospacing="1" w:line="240" w:lineRule="auto"/>
        <w:rPr>
          <w:rFonts w:eastAsia="Times New Roman" w:cstheme="minorHAnsi"/>
          <w:lang w:val="en" w:eastAsia="en-NZ"/>
        </w:rPr>
      </w:pPr>
      <w:r>
        <w:rPr>
          <w:rFonts w:eastAsia="Times New Roman" w:cstheme="minorHAnsi"/>
          <w:lang w:val="en" w:eastAsia="en-NZ"/>
        </w:rPr>
        <w:t xml:space="preserve">supporting effective leadership and the development of learning organisations in schools; and </w:t>
      </w:r>
    </w:p>
    <w:p w:rsidR="0037201D" w:rsidRPr="00013939" w:rsidRDefault="00013939" w:rsidP="003866C7">
      <w:pPr>
        <w:numPr>
          <w:ilvl w:val="0"/>
          <w:numId w:val="18"/>
        </w:numPr>
        <w:spacing w:before="100" w:beforeAutospacing="1" w:after="100" w:afterAutospacing="1" w:line="240" w:lineRule="auto"/>
        <w:rPr>
          <w:rFonts w:eastAsia="Times New Roman" w:cstheme="minorHAnsi"/>
          <w:lang w:val="en" w:eastAsia="en-NZ"/>
        </w:rPr>
      </w:pPr>
      <w:r>
        <w:rPr>
          <w:rFonts w:eastAsia="Times New Roman" w:cstheme="minorHAnsi"/>
          <w:lang w:val="en" w:eastAsia="en-NZ"/>
        </w:rPr>
        <w:t xml:space="preserve">outcome measurement and accountability systems that focus on student achievement. </w:t>
      </w:r>
    </w:p>
    <w:p w:rsidR="00F3497D" w:rsidRDefault="00EA3F22" w:rsidP="00FD45C6">
      <w:pPr>
        <w:autoSpaceDE w:val="0"/>
        <w:autoSpaceDN w:val="0"/>
        <w:adjustRightInd w:val="0"/>
        <w:spacing w:after="0" w:line="240" w:lineRule="auto"/>
        <w:ind w:left="720" w:hanging="720"/>
        <w:rPr>
          <w:rFonts w:cs="Arial"/>
        </w:rPr>
      </w:pPr>
      <w:r>
        <w:rPr>
          <w:rFonts w:cs="Arial"/>
        </w:rPr>
        <w:t>75</w:t>
      </w:r>
      <w:r w:rsidR="00B619A3">
        <w:rPr>
          <w:rFonts w:cs="Arial"/>
        </w:rPr>
        <w:tab/>
      </w:r>
      <w:r w:rsidR="00F3497D">
        <w:rPr>
          <w:rFonts w:cs="Arial"/>
        </w:rPr>
        <w:t>The World Bank reviewed the value of these progra</w:t>
      </w:r>
      <w:r w:rsidR="0037201D">
        <w:rPr>
          <w:rFonts w:cs="Arial"/>
        </w:rPr>
        <w:t xml:space="preserve">mmes in 2007 and </w:t>
      </w:r>
      <w:r w:rsidR="00FD45C6">
        <w:rPr>
          <w:rFonts w:cs="Arial"/>
        </w:rPr>
        <w:t xml:space="preserve">their </w:t>
      </w:r>
      <w:r w:rsidR="00F3497D">
        <w:rPr>
          <w:rFonts w:cs="Arial"/>
        </w:rPr>
        <w:t>literature review suggests that there have been few attempts to compare school food with other safety n</w:t>
      </w:r>
      <w:r w:rsidR="0037201D">
        <w:rPr>
          <w:rFonts w:cs="Arial"/>
        </w:rPr>
        <w:t>et options in western countries</w:t>
      </w:r>
      <w:r w:rsidR="00FD45C6">
        <w:rPr>
          <w:rFonts w:cs="Arial"/>
        </w:rPr>
        <w:t>, however</w:t>
      </w:r>
      <w:r w:rsidR="0037201D">
        <w:rPr>
          <w:rFonts w:cs="Arial"/>
        </w:rPr>
        <w:t>:</w:t>
      </w:r>
    </w:p>
    <w:p w:rsidR="00B619A3" w:rsidRDefault="00B619A3" w:rsidP="0037201D">
      <w:pPr>
        <w:autoSpaceDE w:val="0"/>
        <w:autoSpaceDN w:val="0"/>
        <w:adjustRightInd w:val="0"/>
        <w:spacing w:after="0" w:line="240" w:lineRule="auto"/>
        <w:rPr>
          <w:rFonts w:cs="Arial"/>
        </w:rPr>
      </w:pPr>
    </w:p>
    <w:p w:rsidR="00B619A3" w:rsidRDefault="00B619A3" w:rsidP="003866C7">
      <w:pPr>
        <w:pStyle w:val="ListParagraph"/>
        <w:numPr>
          <w:ilvl w:val="0"/>
          <w:numId w:val="12"/>
        </w:numPr>
        <w:autoSpaceDE w:val="0"/>
        <w:autoSpaceDN w:val="0"/>
        <w:adjustRightInd w:val="0"/>
        <w:rPr>
          <w:rFonts w:cs="Arial"/>
        </w:rPr>
      </w:pPr>
      <w:r>
        <w:rPr>
          <w:rFonts w:cs="Arial"/>
        </w:rPr>
        <w:t>the programmes have most value in countries where there is a problem with school attendance;</w:t>
      </w:r>
    </w:p>
    <w:p w:rsidR="00B619A3" w:rsidRDefault="00B619A3" w:rsidP="003866C7">
      <w:pPr>
        <w:pStyle w:val="ListParagraph"/>
        <w:numPr>
          <w:ilvl w:val="0"/>
          <w:numId w:val="12"/>
        </w:numPr>
        <w:autoSpaceDE w:val="0"/>
        <w:autoSpaceDN w:val="0"/>
        <w:adjustRightInd w:val="0"/>
        <w:rPr>
          <w:rFonts w:cs="Arial"/>
        </w:rPr>
      </w:pPr>
      <w:r>
        <w:rPr>
          <w:rFonts w:cs="Arial"/>
        </w:rPr>
        <w:t>the programme has significant costs associated with it (such as purchasing, storing and cooking the food) and so these costs need to be considered carefully;</w:t>
      </w:r>
    </w:p>
    <w:p w:rsidR="00B619A3" w:rsidRDefault="00B619A3" w:rsidP="003866C7">
      <w:pPr>
        <w:pStyle w:val="ListParagraph"/>
        <w:numPr>
          <w:ilvl w:val="0"/>
          <w:numId w:val="12"/>
        </w:numPr>
        <w:autoSpaceDE w:val="0"/>
        <w:autoSpaceDN w:val="0"/>
        <w:adjustRightInd w:val="0"/>
        <w:rPr>
          <w:rFonts w:cs="Arial"/>
        </w:rPr>
      </w:pPr>
      <w:r>
        <w:rPr>
          <w:rFonts w:cs="Arial"/>
        </w:rPr>
        <w:t>in many countries, particularly western countries, some part of the rationale for the programme is the support it provides to local agriculture; and</w:t>
      </w:r>
    </w:p>
    <w:p w:rsidR="00B619A3" w:rsidRDefault="00B619A3" w:rsidP="003866C7">
      <w:pPr>
        <w:pStyle w:val="ListParagraph"/>
        <w:numPr>
          <w:ilvl w:val="0"/>
          <w:numId w:val="12"/>
        </w:numPr>
        <w:autoSpaceDE w:val="0"/>
        <w:autoSpaceDN w:val="0"/>
        <w:adjustRightInd w:val="0"/>
        <w:rPr>
          <w:rFonts w:cs="Arial"/>
        </w:rPr>
      </w:pPr>
      <w:r>
        <w:rPr>
          <w:rFonts w:cs="Arial"/>
        </w:rPr>
        <w:t>school food programmes are able to be carefully targeted, but this requires tight control on the pressure to expand who gets the food and what kind of food is provided.</w:t>
      </w:r>
    </w:p>
    <w:p w:rsidR="00B619A3" w:rsidRDefault="00B619A3" w:rsidP="0037201D">
      <w:pPr>
        <w:autoSpaceDE w:val="0"/>
        <w:autoSpaceDN w:val="0"/>
        <w:adjustRightInd w:val="0"/>
        <w:spacing w:after="0" w:line="240" w:lineRule="auto"/>
        <w:rPr>
          <w:rFonts w:cs="Arial"/>
        </w:rPr>
      </w:pPr>
    </w:p>
    <w:p w:rsidR="00F3497D" w:rsidRDefault="00EA3F22" w:rsidP="00B619A3">
      <w:pPr>
        <w:pStyle w:val="NoSpacing"/>
        <w:ind w:left="720" w:hanging="720"/>
      </w:pPr>
      <w:r>
        <w:t>76</w:t>
      </w:r>
      <w:r w:rsidR="00B619A3">
        <w:tab/>
      </w:r>
      <w:r w:rsidR="00FD45C6">
        <w:t>There are</w:t>
      </w:r>
      <w:r w:rsidR="00F3497D">
        <w:t xml:space="preserve"> already a number of programmes addressing this issue, notably government funding through the Fruit in Schools programme and decile funding for schools</w:t>
      </w:r>
      <w:r w:rsidR="00FD45C6">
        <w:t>, and</w:t>
      </w:r>
      <w:r w:rsidR="00F3497D">
        <w:t xml:space="preserve"> NGO and private sector programmes su</w:t>
      </w:r>
      <w:r w:rsidR="00B619A3">
        <w:t xml:space="preserve">ch as KidsCan (which </w:t>
      </w:r>
      <w:r w:rsidR="004418BB">
        <w:t xml:space="preserve">we understand </w:t>
      </w:r>
      <w:r w:rsidR="00B619A3">
        <w:t>gets approx.</w:t>
      </w:r>
      <w:r w:rsidR="00F67F24">
        <w:t xml:space="preserve"> 10% of its funding from G</w:t>
      </w:r>
      <w:r w:rsidR="00F3497D">
        <w:t xml:space="preserve">overnment), Fonterra’s milk in schools, and </w:t>
      </w:r>
      <w:r w:rsidR="00B619A3">
        <w:t>Sanatorium’s</w:t>
      </w:r>
      <w:r w:rsidR="00F3497D">
        <w:t xml:space="preserve"> Kick Start breakfasts in schools</w:t>
      </w:r>
    </w:p>
    <w:p w:rsidR="00F3497D" w:rsidRDefault="00F3497D" w:rsidP="00F3497D">
      <w:pPr>
        <w:pStyle w:val="ListParagraph"/>
        <w:ind w:left="-360"/>
        <w:rPr>
          <w:rFonts w:cs="Arial"/>
        </w:rPr>
      </w:pPr>
    </w:p>
    <w:p w:rsidR="00FD45C6" w:rsidRDefault="00EA3F22" w:rsidP="00172E1F">
      <w:pPr>
        <w:autoSpaceDE w:val="0"/>
        <w:autoSpaceDN w:val="0"/>
        <w:adjustRightInd w:val="0"/>
        <w:ind w:left="720" w:hanging="720"/>
        <w:rPr>
          <w:rFonts w:cs="Arial"/>
        </w:rPr>
      </w:pPr>
      <w:r>
        <w:rPr>
          <w:rFonts w:cs="Arial"/>
        </w:rPr>
        <w:t>77</w:t>
      </w:r>
      <w:r w:rsidR="00FD45C6">
        <w:rPr>
          <w:rFonts w:cs="Arial"/>
        </w:rPr>
        <w:tab/>
      </w:r>
      <w:r w:rsidR="009C3996">
        <w:rPr>
          <w:rFonts w:cs="Arial"/>
        </w:rPr>
        <w:t>W</w:t>
      </w:r>
      <w:r w:rsidR="00FD45C6">
        <w:rPr>
          <w:rFonts w:cs="Arial"/>
        </w:rPr>
        <w:t xml:space="preserve">hile the data </w:t>
      </w:r>
      <w:r w:rsidR="00FD45C6" w:rsidRPr="0037201D">
        <w:rPr>
          <w:rFonts w:cs="Arial"/>
        </w:rPr>
        <w:t>does not sug</w:t>
      </w:r>
      <w:r w:rsidR="00FD45C6">
        <w:rPr>
          <w:rFonts w:cs="Arial"/>
        </w:rPr>
        <w:t>gest that there is a widespread or</w:t>
      </w:r>
      <w:r w:rsidR="00FD45C6" w:rsidRPr="0037201D">
        <w:rPr>
          <w:rFonts w:cs="Arial"/>
        </w:rPr>
        <w:t xml:space="preserve"> systemic problem</w:t>
      </w:r>
      <w:r w:rsidR="00FD45C6">
        <w:rPr>
          <w:rFonts w:cs="Arial"/>
        </w:rPr>
        <w:t xml:space="preserve">, any additional Government </w:t>
      </w:r>
      <w:r w:rsidR="00F3497D">
        <w:rPr>
          <w:rFonts w:cs="Arial"/>
        </w:rPr>
        <w:t>funding need</w:t>
      </w:r>
      <w:r w:rsidR="00AD65BD">
        <w:rPr>
          <w:rFonts w:cs="Arial"/>
        </w:rPr>
        <w:t>s</w:t>
      </w:r>
      <w:r w:rsidR="00F3497D">
        <w:rPr>
          <w:rFonts w:cs="Arial"/>
        </w:rPr>
        <w:t xml:space="preserve"> to ensure</w:t>
      </w:r>
      <w:r w:rsidR="00172E1F">
        <w:rPr>
          <w:rFonts w:cs="Arial"/>
        </w:rPr>
        <w:t>:</w:t>
      </w:r>
    </w:p>
    <w:p w:rsidR="00FD45C6" w:rsidRDefault="009C3996" w:rsidP="003866C7">
      <w:pPr>
        <w:pStyle w:val="ListParagraph"/>
        <w:numPr>
          <w:ilvl w:val="0"/>
          <w:numId w:val="13"/>
        </w:numPr>
        <w:autoSpaceDE w:val="0"/>
        <w:autoSpaceDN w:val="0"/>
        <w:adjustRightInd w:val="0"/>
        <w:rPr>
          <w:rFonts w:cs="Arial"/>
        </w:rPr>
      </w:pPr>
      <w:r>
        <w:rPr>
          <w:rFonts w:cs="Arial"/>
        </w:rPr>
        <w:t>the funding</w:t>
      </w:r>
      <w:r w:rsidR="00F3497D" w:rsidRPr="00FD45C6">
        <w:rPr>
          <w:rFonts w:cs="Arial"/>
        </w:rPr>
        <w:t xml:space="preserve"> go</w:t>
      </w:r>
      <w:r w:rsidR="00F67F24">
        <w:rPr>
          <w:rFonts w:cs="Arial"/>
        </w:rPr>
        <w:t>es</w:t>
      </w:r>
      <w:r w:rsidR="00F3497D" w:rsidRPr="00FD45C6">
        <w:rPr>
          <w:rFonts w:cs="Arial"/>
        </w:rPr>
        <w:t xml:space="preserve"> to the most disadvantaged children</w:t>
      </w:r>
      <w:r w:rsidR="00FD45C6">
        <w:rPr>
          <w:rFonts w:cs="Arial"/>
        </w:rPr>
        <w:t>;</w:t>
      </w:r>
      <w:r>
        <w:rPr>
          <w:rFonts w:cs="Arial"/>
        </w:rPr>
        <w:t xml:space="preserve"> and</w:t>
      </w:r>
    </w:p>
    <w:p w:rsidR="00FD45C6" w:rsidRDefault="00E624D3" w:rsidP="003866C7">
      <w:pPr>
        <w:pStyle w:val="ListParagraph"/>
        <w:numPr>
          <w:ilvl w:val="0"/>
          <w:numId w:val="13"/>
        </w:numPr>
        <w:autoSpaceDE w:val="0"/>
        <w:autoSpaceDN w:val="0"/>
        <w:adjustRightInd w:val="0"/>
        <w:rPr>
          <w:rFonts w:cs="Arial"/>
        </w:rPr>
      </w:pPr>
      <w:r>
        <w:rPr>
          <w:rFonts w:cs="Arial"/>
        </w:rPr>
        <w:t xml:space="preserve">incentivised </w:t>
      </w:r>
      <w:r w:rsidR="00F3497D" w:rsidRPr="00FD45C6">
        <w:rPr>
          <w:rFonts w:cs="Arial"/>
        </w:rPr>
        <w:t>further intervention</w:t>
      </w:r>
      <w:r w:rsidR="00F67F24">
        <w:rPr>
          <w:rFonts w:cs="Arial"/>
        </w:rPr>
        <w:t>s</w:t>
      </w:r>
      <w:r w:rsidR="00F3497D" w:rsidRPr="00FD45C6">
        <w:rPr>
          <w:rFonts w:cs="Arial"/>
        </w:rPr>
        <w:t xml:space="preserve"> when app</w:t>
      </w:r>
      <w:r w:rsidR="00FD45C6" w:rsidRPr="00FD45C6">
        <w:rPr>
          <w:rFonts w:cs="Arial"/>
        </w:rPr>
        <w:t>ropriate i.e. acce</w:t>
      </w:r>
      <w:r w:rsidR="009238EB">
        <w:rPr>
          <w:rFonts w:cs="Arial"/>
        </w:rPr>
        <w:t>ss to</w:t>
      </w:r>
      <w:r w:rsidR="009C3996">
        <w:rPr>
          <w:rFonts w:cs="Arial"/>
        </w:rPr>
        <w:t xml:space="preserve"> more </w:t>
      </w:r>
      <w:r w:rsidR="009238EB">
        <w:rPr>
          <w:rFonts w:cs="Arial"/>
        </w:rPr>
        <w:t xml:space="preserve">comprehensive </w:t>
      </w:r>
      <w:r w:rsidR="009C3996">
        <w:rPr>
          <w:rFonts w:cs="Arial"/>
        </w:rPr>
        <w:t>help for at risk</w:t>
      </w:r>
      <w:r w:rsidR="00FD45C6" w:rsidRPr="00FD45C6">
        <w:rPr>
          <w:rFonts w:cs="Arial"/>
        </w:rPr>
        <w:t xml:space="preserve"> child</w:t>
      </w:r>
      <w:r w:rsidR="009C3996">
        <w:rPr>
          <w:rFonts w:cs="Arial"/>
        </w:rPr>
        <w:t xml:space="preserve">ren </w:t>
      </w:r>
      <w:r w:rsidR="009238EB">
        <w:rPr>
          <w:rFonts w:cs="Arial"/>
        </w:rPr>
        <w:t xml:space="preserve">not </w:t>
      </w:r>
      <w:r w:rsidR="009C3996">
        <w:rPr>
          <w:rFonts w:cs="Arial"/>
        </w:rPr>
        <w:t xml:space="preserve">just providing </w:t>
      </w:r>
      <w:r w:rsidR="009238EB">
        <w:rPr>
          <w:rFonts w:cs="Arial"/>
        </w:rPr>
        <w:t xml:space="preserve"> access to </w:t>
      </w:r>
      <w:r w:rsidR="00FD45C6" w:rsidRPr="00FD45C6">
        <w:rPr>
          <w:rFonts w:cs="Arial"/>
        </w:rPr>
        <w:t xml:space="preserve">immediate food. </w:t>
      </w:r>
    </w:p>
    <w:p w:rsidR="00172E1F" w:rsidRPr="00172E1F" w:rsidRDefault="00172E1F" w:rsidP="00172E1F">
      <w:pPr>
        <w:pStyle w:val="ListParagraph"/>
        <w:autoSpaceDE w:val="0"/>
        <w:autoSpaceDN w:val="0"/>
        <w:adjustRightInd w:val="0"/>
        <w:ind w:left="1080"/>
        <w:rPr>
          <w:rFonts w:cs="Arial"/>
        </w:rPr>
      </w:pPr>
    </w:p>
    <w:p w:rsidR="00F67F24" w:rsidRDefault="00EA3F22" w:rsidP="008F6147">
      <w:pPr>
        <w:ind w:left="720" w:hanging="720"/>
        <w:contextualSpacing/>
        <w:jc w:val="both"/>
        <w:rPr>
          <w:rFonts w:cs="Arial"/>
        </w:rPr>
      </w:pPr>
      <w:r>
        <w:rPr>
          <w:rFonts w:cs="Arial"/>
        </w:rPr>
        <w:t>78</w:t>
      </w:r>
      <w:r w:rsidR="00172E1F">
        <w:rPr>
          <w:rFonts w:cs="Arial"/>
        </w:rPr>
        <w:tab/>
        <w:t>T</w:t>
      </w:r>
      <w:r w:rsidR="00FD45C6" w:rsidRPr="00172E1F">
        <w:rPr>
          <w:rFonts w:cs="Arial"/>
        </w:rPr>
        <w:t>his suggests that any additional</w:t>
      </w:r>
      <w:r w:rsidR="00F3497D" w:rsidRPr="00172E1F">
        <w:rPr>
          <w:rFonts w:cs="Arial"/>
        </w:rPr>
        <w:t xml:space="preserve"> funding should be targeted through either the </w:t>
      </w:r>
      <w:r w:rsidR="007D40C1">
        <w:rPr>
          <w:rFonts w:cs="Arial"/>
        </w:rPr>
        <w:t xml:space="preserve">equity or </w:t>
      </w:r>
      <w:r w:rsidR="00F3497D" w:rsidRPr="00172E1F">
        <w:rPr>
          <w:rFonts w:cs="Arial"/>
        </w:rPr>
        <w:t>d</w:t>
      </w:r>
      <w:r w:rsidR="00172E1F">
        <w:rPr>
          <w:rFonts w:cs="Arial"/>
        </w:rPr>
        <w:t xml:space="preserve">ecile funding of </w:t>
      </w:r>
      <w:r w:rsidR="007D40C1">
        <w:rPr>
          <w:rFonts w:cs="Arial"/>
        </w:rPr>
        <w:t xml:space="preserve">early childhood education providers or </w:t>
      </w:r>
      <w:r w:rsidR="00172E1F">
        <w:rPr>
          <w:rFonts w:cs="Arial"/>
        </w:rPr>
        <w:t>schools and more intensive care</w:t>
      </w:r>
      <w:r w:rsidR="002450E5">
        <w:rPr>
          <w:rFonts w:cs="Arial"/>
        </w:rPr>
        <w:t xml:space="preserve"> provided </w:t>
      </w:r>
      <w:r w:rsidR="00F3497D" w:rsidRPr="00172E1F">
        <w:rPr>
          <w:rFonts w:cs="Arial"/>
        </w:rPr>
        <w:t>through the NGO sector</w:t>
      </w:r>
      <w:r w:rsidR="00FD45C6" w:rsidRPr="00172E1F">
        <w:rPr>
          <w:rFonts w:cs="Arial"/>
        </w:rPr>
        <w:t xml:space="preserve"> via the social worker in low decile schools </w:t>
      </w:r>
      <w:r w:rsidR="009238EB">
        <w:rPr>
          <w:rFonts w:cs="Arial"/>
        </w:rPr>
        <w:t xml:space="preserve">type </w:t>
      </w:r>
      <w:r w:rsidR="00FD45C6" w:rsidRPr="00172E1F">
        <w:rPr>
          <w:rFonts w:cs="Arial"/>
        </w:rPr>
        <w:t>initiative</w:t>
      </w:r>
      <w:r w:rsidR="009238EB">
        <w:rPr>
          <w:rFonts w:cs="Arial"/>
        </w:rPr>
        <w:t>s</w:t>
      </w:r>
      <w:r w:rsidR="00FD45C6" w:rsidRPr="00172E1F">
        <w:rPr>
          <w:rFonts w:cs="Arial"/>
        </w:rPr>
        <w:t xml:space="preserve">. </w:t>
      </w:r>
    </w:p>
    <w:p w:rsidR="00F67F24" w:rsidRDefault="00F67F24" w:rsidP="008F6147">
      <w:pPr>
        <w:ind w:left="720" w:hanging="720"/>
        <w:contextualSpacing/>
        <w:jc w:val="both"/>
        <w:rPr>
          <w:rFonts w:cs="Arial"/>
        </w:rPr>
      </w:pPr>
    </w:p>
    <w:p w:rsidR="00F3497D" w:rsidRPr="008F6147" w:rsidRDefault="00EA3F22" w:rsidP="008F6147">
      <w:pPr>
        <w:ind w:left="720" w:hanging="720"/>
        <w:contextualSpacing/>
        <w:jc w:val="both"/>
      </w:pPr>
      <w:r>
        <w:rPr>
          <w:rFonts w:cs="Arial"/>
        </w:rPr>
        <w:t>79</w:t>
      </w:r>
      <w:r w:rsidR="00F67F24">
        <w:rPr>
          <w:rFonts w:cs="Arial"/>
        </w:rPr>
        <w:tab/>
      </w:r>
      <w:r w:rsidR="00172E1F" w:rsidRPr="00172E1F">
        <w:rPr>
          <w:rFonts w:cs="Arial"/>
        </w:rPr>
        <w:t xml:space="preserve">There is a </w:t>
      </w:r>
      <w:r w:rsidR="00F67F24">
        <w:rPr>
          <w:rFonts w:cs="Arial"/>
        </w:rPr>
        <w:t xml:space="preserve">pretty robust </w:t>
      </w:r>
      <w:r w:rsidR="00172E1F" w:rsidRPr="00172E1F">
        <w:rPr>
          <w:rFonts w:cs="Arial"/>
        </w:rPr>
        <w:t xml:space="preserve">policy case for considering </w:t>
      </w:r>
      <w:r w:rsidR="00172E1F">
        <w:rPr>
          <w:rFonts w:cs="Arial"/>
        </w:rPr>
        <w:t xml:space="preserve">higher funding for low decile </w:t>
      </w:r>
      <w:r w:rsidR="007D40C1">
        <w:rPr>
          <w:rFonts w:cs="Arial"/>
        </w:rPr>
        <w:t xml:space="preserve">early childhood education providers or </w:t>
      </w:r>
      <w:r w:rsidR="00A95B17">
        <w:rPr>
          <w:rFonts w:cs="Arial"/>
        </w:rPr>
        <w:t xml:space="preserve">primary </w:t>
      </w:r>
      <w:r w:rsidR="00172E1F">
        <w:rPr>
          <w:rFonts w:cs="Arial"/>
        </w:rPr>
        <w:t xml:space="preserve">schools </w:t>
      </w:r>
      <w:r w:rsidR="00172E1F" w:rsidRPr="00172E1F">
        <w:rPr>
          <w:rFonts w:cs="Arial"/>
        </w:rPr>
        <w:t xml:space="preserve">given the </w:t>
      </w:r>
      <w:r w:rsidR="00172E1F">
        <w:rPr>
          <w:rFonts w:cs="Arial"/>
        </w:rPr>
        <w:t xml:space="preserve">strong </w:t>
      </w:r>
      <w:r w:rsidR="00E6414B">
        <w:rPr>
          <w:rFonts w:cs="Arial"/>
        </w:rPr>
        <w:t>link</w:t>
      </w:r>
      <w:r w:rsidR="00172E1F" w:rsidRPr="00172E1F">
        <w:rPr>
          <w:rFonts w:cs="Arial"/>
        </w:rPr>
        <w:t xml:space="preserve"> between </w:t>
      </w:r>
      <w:r w:rsidR="00E6414B">
        <w:rPr>
          <w:rFonts w:cs="Arial"/>
        </w:rPr>
        <w:t xml:space="preserve">student </w:t>
      </w:r>
      <w:r w:rsidR="00172E1F" w:rsidRPr="00172E1F">
        <w:rPr>
          <w:rFonts w:cs="Arial"/>
        </w:rPr>
        <w:t>achievement and socio</w:t>
      </w:r>
      <w:r w:rsidR="00E6414B">
        <w:rPr>
          <w:rFonts w:cs="Arial"/>
        </w:rPr>
        <w:t>-economic status in New Zealand</w:t>
      </w:r>
      <w:r w:rsidR="00172E1F" w:rsidRPr="00172E1F">
        <w:rPr>
          <w:rFonts w:cs="Arial"/>
        </w:rPr>
        <w:t xml:space="preserve"> and the comparatively low level of </w:t>
      </w:r>
      <w:r w:rsidR="00E6414B">
        <w:rPr>
          <w:rFonts w:cs="Arial"/>
        </w:rPr>
        <w:t xml:space="preserve">targeted </w:t>
      </w:r>
      <w:r w:rsidR="00F67F24">
        <w:rPr>
          <w:rFonts w:cs="Arial"/>
        </w:rPr>
        <w:t xml:space="preserve">funding </w:t>
      </w:r>
      <w:r w:rsidR="00172E1F" w:rsidRPr="00172E1F">
        <w:rPr>
          <w:rFonts w:cs="Arial"/>
        </w:rPr>
        <w:t xml:space="preserve">compared to most OECD countries. This would leave the decision on when food is provided and to whom to be managed by the </w:t>
      </w:r>
      <w:r w:rsidR="007D40C1">
        <w:rPr>
          <w:rFonts w:cs="Arial"/>
        </w:rPr>
        <w:t xml:space="preserve">early childhood education providers or </w:t>
      </w:r>
      <w:r w:rsidR="00172E1F" w:rsidRPr="00172E1F">
        <w:rPr>
          <w:rFonts w:cs="Arial"/>
        </w:rPr>
        <w:t>schools</w:t>
      </w:r>
      <w:r w:rsidR="00172E1F">
        <w:rPr>
          <w:rFonts w:cs="Arial"/>
        </w:rPr>
        <w:t xml:space="preserve"> and other </w:t>
      </w:r>
      <w:r w:rsidR="00F67F24">
        <w:rPr>
          <w:rFonts w:cs="Arial"/>
        </w:rPr>
        <w:t xml:space="preserve">private </w:t>
      </w:r>
      <w:r w:rsidR="00172E1F">
        <w:rPr>
          <w:rFonts w:cs="Arial"/>
        </w:rPr>
        <w:t>parties they wish to work with</w:t>
      </w:r>
      <w:r w:rsidR="00172E1F" w:rsidRPr="00172E1F">
        <w:rPr>
          <w:rFonts w:cs="Arial"/>
        </w:rPr>
        <w:t>.</w:t>
      </w:r>
      <w:r w:rsidR="00172E1F">
        <w:rPr>
          <w:rFonts w:cs="Arial"/>
        </w:rPr>
        <w:t xml:space="preserve"> </w:t>
      </w:r>
      <w:r w:rsidR="00FD45C6">
        <w:rPr>
          <w:rFonts w:cs="Arial"/>
        </w:rPr>
        <w:t xml:space="preserve">Ultimately </w:t>
      </w:r>
      <w:r w:rsidR="00172E1F">
        <w:rPr>
          <w:rFonts w:cs="Arial"/>
        </w:rPr>
        <w:t xml:space="preserve">however </w:t>
      </w:r>
      <w:r w:rsidR="00FD45C6">
        <w:rPr>
          <w:rFonts w:cs="Arial"/>
        </w:rPr>
        <w:t>we need to encourage</w:t>
      </w:r>
      <w:r w:rsidR="00F3497D" w:rsidRPr="00FD45C6">
        <w:rPr>
          <w:rFonts w:cs="Arial"/>
        </w:rPr>
        <w:t xml:space="preserve"> parents to take </w:t>
      </w:r>
      <w:r w:rsidR="00FD45C6">
        <w:rPr>
          <w:rFonts w:cs="Arial"/>
        </w:rPr>
        <w:t xml:space="preserve">the </w:t>
      </w:r>
      <w:r w:rsidR="00F3497D" w:rsidRPr="00FD45C6">
        <w:rPr>
          <w:rFonts w:cs="Arial"/>
        </w:rPr>
        <w:t xml:space="preserve">long term responsibility </w:t>
      </w:r>
      <w:r w:rsidR="00FD45C6">
        <w:rPr>
          <w:rFonts w:cs="Arial"/>
        </w:rPr>
        <w:t xml:space="preserve">for feeding their children. </w:t>
      </w:r>
    </w:p>
    <w:p w:rsidR="00F32E89" w:rsidRDefault="00EA3F22" w:rsidP="00F32E89">
      <w:pPr>
        <w:pStyle w:val="Heading1"/>
        <w:ind w:left="720" w:hanging="720"/>
        <w:rPr>
          <w:rFonts w:asciiTheme="minorHAnsi" w:hAnsiTheme="minorHAnsi" w:cstheme="minorHAnsi"/>
          <w:b w:val="0"/>
          <w:sz w:val="22"/>
          <w:szCs w:val="22"/>
          <w:lang w:val="en"/>
        </w:rPr>
      </w:pPr>
      <w:r>
        <w:rPr>
          <w:rFonts w:asciiTheme="minorHAnsi" w:hAnsiTheme="minorHAnsi" w:cstheme="minorHAnsi"/>
          <w:b w:val="0"/>
          <w:sz w:val="22"/>
          <w:szCs w:val="22"/>
        </w:rPr>
        <w:lastRenderedPageBreak/>
        <w:t>80</w:t>
      </w:r>
      <w:r w:rsidR="00F32E89">
        <w:rPr>
          <w:rFonts w:cstheme="minorHAnsi"/>
        </w:rPr>
        <w:tab/>
      </w:r>
      <w:r w:rsidR="00F32E89">
        <w:rPr>
          <w:rFonts w:asciiTheme="minorHAnsi" w:hAnsiTheme="minorHAnsi" w:cstheme="minorHAnsi"/>
          <w:b w:val="0"/>
          <w:sz w:val="22"/>
          <w:szCs w:val="22"/>
          <w:lang w:val="en"/>
        </w:rPr>
        <w:t xml:space="preserve">In determining the </w:t>
      </w:r>
      <w:r w:rsidR="001B0788">
        <w:rPr>
          <w:rFonts w:asciiTheme="minorHAnsi" w:hAnsiTheme="minorHAnsi" w:cstheme="minorHAnsi"/>
          <w:b w:val="0"/>
          <w:sz w:val="22"/>
          <w:szCs w:val="22"/>
          <w:lang w:val="en"/>
        </w:rPr>
        <w:t xml:space="preserve">level of additional investment </w:t>
      </w:r>
      <w:r w:rsidR="004C5A81">
        <w:rPr>
          <w:rFonts w:asciiTheme="minorHAnsi" w:hAnsiTheme="minorHAnsi" w:cstheme="minorHAnsi"/>
          <w:b w:val="0"/>
          <w:sz w:val="22"/>
          <w:szCs w:val="22"/>
          <w:lang w:val="en"/>
        </w:rPr>
        <w:t>between</w:t>
      </w:r>
      <w:r w:rsidR="00F32E89">
        <w:rPr>
          <w:rFonts w:asciiTheme="minorHAnsi" w:hAnsiTheme="minorHAnsi" w:cstheme="minorHAnsi"/>
          <w:b w:val="0"/>
          <w:sz w:val="22"/>
          <w:szCs w:val="22"/>
          <w:lang w:val="en"/>
        </w:rPr>
        <w:t xml:space="preserve"> </w:t>
      </w:r>
      <w:r w:rsidR="00A95B17">
        <w:rPr>
          <w:rFonts w:asciiTheme="minorHAnsi" w:hAnsiTheme="minorHAnsi" w:cstheme="minorHAnsi"/>
          <w:b w:val="0"/>
          <w:sz w:val="22"/>
          <w:szCs w:val="22"/>
          <w:lang w:val="en"/>
        </w:rPr>
        <w:t xml:space="preserve">the </w:t>
      </w:r>
      <w:r w:rsidR="00F32E89">
        <w:rPr>
          <w:rFonts w:asciiTheme="minorHAnsi" w:hAnsiTheme="minorHAnsi" w:cstheme="minorHAnsi"/>
          <w:b w:val="0"/>
          <w:sz w:val="22"/>
          <w:szCs w:val="22"/>
          <w:lang w:val="en"/>
        </w:rPr>
        <w:t xml:space="preserve">early childhood </w:t>
      </w:r>
      <w:r w:rsidR="00A95B17">
        <w:rPr>
          <w:rFonts w:asciiTheme="minorHAnsi" w:hAnsiTheme="minorHAnsi" w:cstheme="minorHAnsi"/>
          <w:b w:val="0"/>
          <w:sz w:val="22"/>
          <w:szCs w:val="22"/>
          <w:lang w:val="en"/>
        </w:rPr>
        <w:t xml:space="preserve">providers </w:t>
      </w:r>
      <w:r w:rsidR="00F32E89">
        <w:rPr>
          <w:rFonts w:asciiTheme="minorHAnsi" w:hAnsiTheme="minorHAnsi" w:cstheme="minorHAnsi"/>
          <w:b w:val="0"/>
          <w:sz w:val="22"/>
          <w:szCs w:val="22"/>
          <w:lang w:val="en"/>
        </w:rPr>
        <w:t xml:space="preserve">or schooling, </w:t>
      </w:r>
      <w:r w:rsidR="00A95B17">
        <w:rPr>
          <w:rFonts w:asciiTheme="minorHAnsi" w:hAnsiTheme="minorHAnsi" w:cstheme="minorHAnsi"/>
          <w:b w:val="0"/>
          <w:sz w:val="22"/>
          <w:szCs w:val="22"/>
          <w:lang w:val="en"/>
        </w:rPr>
        <w:t xml:space="preserve">it is useful to note that </w:t>
      </w:r>
      <w:r w:rsidR="00F32E89">
        <w:rPr>
          <w:rFonts w:asciiTheme="minorHAnsi" w:hAnsiTheme="minorHAnsi" w:cstheme="minorHAnsi"/>
          <w:b w:val="0"/>
          <w:sz w:val="22"/>
          <w:szCs w:val="22"/>
          <w:lang w:val="en"/>
        </w:rPr>
        <w:t>b</w:t>
      </w:r>
      <w:r w:rsidR="00F32E89" w:rsidRPr="00F32E89">
        <w:rPr>
          <w:rFonts w:asciiTheme="minorHAnsi" w:hAnsiTheme="minorHAnsi" w:cstheme="minorHAnsi"/>
          <w:b w:val="0"/>
          <w:sz w:val="22"/>
          <w:szCs w:val="22"/>
          <w:lang w:val="en"/>
        </w:rPr>
        <w:t>road-based increases in participation in early childhood education can help to raise per-capita GDP by increasing labour market participation by parents.</w:t>
      </w:r>
      <w:r w:rsidR="001B0788">
        <w:rPr>
          <w:rFonts w:asciiTheme="minorHAnsi" w:hAnsiTheme="minorHAnsi" w:cstheme="minorHAnsi"/>
          <w:b w:val="0"/>
          <w:sz w:val="22"/>
          <w:szCs w:val="22"/>
          <w:lang w:val="en"/>
        </w:rPr>
        <w:t xml:space="preserve"> However over time</w:t>
      </w:r>
      <w:r w:rsidR="00F32E89" w:rsidRPr="00F32E89">
        <w:rPr>
          <w:rFonts w:asciiTheme="minorHAnsi" w:hAnsiTheme="minorHAnsi" w:cstheme="minorHAnsi"/>
          <w:b w:val="0"/>
          <w:sz w:val="22"/>
          <w:szCs w:val="22"/>
          <w:lang w:val="en"/>
        </w:rPr>
        <w:t xml:space="preserve"> the greatest productivity gains will come from the impact that high quality early childhood educat</w:t>
      </w:r>
      <w:r w:rsidR="00F32E89">
        <w:rPr>
          <w:rFonts w:asciiTheme="minorHAnsi" w:hAnsiTheme="minorHAnsi" w:cstheme="minorHAnsi"/>
          <w:b w:val="0"/>
          <w:sz w:val="22"/>
          <w:szCs w:val="22"/>
          <w:lang w:val="en"/>
        </w:rPr>
        <w:t>ion has on children’s learning,</w:t>
      </w:r>
      <w:r w:rsidR="00F32E89" w:rsidRPr="00F32E89">
        <w:rPr>
          <w:rFonts w:asciiTheme="minorHAnsi" w:hAnsiTheme="minorHAnsi" w:cstheme="minorHAnsi"/>
          <w:b w:val="0"/>
          <w:sz w:val="22"/>
          <w:szCs w:val="22"/>
          <w:lang w:val="en"/>
        </w:rPr>
        <w:t xml:space="preserve"> an impact that is greatest for children from disadvantaged home environments. </w:t>
      </w:r>
      <w:r w:rsidR="00F32E89">
        <w:rPr>
          <w:rFonts w:asciiTheme="minorHAnsi" w:hAnsiTheme="minorHAnsi" w:cstheme="minorHAnsi"/>
          <w:b w:val="0"/>
          <w:sz w:val="22"/>
          <w:szCs w:val="22"/>
          <w:lang w:val="en"/>
        </w:rPr>
        <w:t>(“</w:t>
      </w:r>
      <w:r w:rsidR="00F32E89" w:rsidRPr="00F32E89">
        <w:rPr>
          <w:rFonts w:asciiTheme="minorHAnsi" w:hAnsiTheme="minorHAnsi" w:cstheme="minorHAnsi"/>
          <w:b w:val="0"/>
          <w:i/>
          <w:sz w:val="22"/>
          <w:szCs w:val="22"/>
          <w:lang w:val="en"/>
        </w:rPr>
        <w:t>Working Smarter: Driving Productivity Growth Through Skills</w:t>
      </w:r>
      <w:r w:rsidR="00F32E89">
        <w:rPr>
          <w:rFonts w:asciiTheme="minorHAnsi" w:hAnsiTheme="minorHAnsi" w:cstheme="minorHAnsi"/>
          <w:b w:val="0"/>
          <w:sz w:val="22"/>
          <w:szCs w:val="22"/>
          <w:lang w:val="en"/>
        </w:rPr>
        <w:t xml:space="preserve">”, </w:t>
      </w:r>
      <w:r w:rsidR="00F32E89" w:rsidRPr="00F32E89">
        <w:rPr>
          <w:rFonts w:asciiTheme="minorHAnsi" w:hAnsiTheme="minorHAnsi" w:cstheme="minorHAnsi"/>
          <w:b w:val="0"/>
          <w:sz w:val="22"/>
          <w:szCs w:val="22"/>
          <w:lang w:val="en"/>
        </w:rPr>
        <w:t>New Zealand Treasury Productivity Paper</w:t>
      </w:r>
      <w:r w:rsidR="00F32E89">
        <w:rPr>
          <w:rFonts w:asciiTheme="minorHAnsi" w:hAnsiTheme="minorHAnsi" w:cstheme="minorHAnsi"/>
          <w:b w:val="0"/>
          <w:sz w:val="22"/>
          <w:szCs w:val="22"/>
          <w:lang w:val="en"/>
        </w:rPr>
        <w:t>, 2006</w:t>
      </w:r>
      <w:r w:rsidR="00F32E89" w:rsidRPr="00F32E89">
        <w:rPr>
          <w:rFonts w:asciiTheme="minorHAnsi" w:hAnsiTheme="minorHAnsi" w:cstheme="minorHAnsi"/>
          <w:b w:val="0"/>
          <w:sz w:val="22"/>
          <w:szCs w:val="22"/>
          <w:lang w:val="en"/>
        </w:rPr>
        <w:t>)</w:t>
      </w:r>
      <w:r w:rsidR="00F32E89">
        <w:rPr>
          <w:rFonts w:asciiTheme="minorHAnsi" w:hAnsiTheme="minorHAnsi" w:cstheme="minorHAnsi"/>
          <w:b w:val="0"/>
          <w:sz w:val="22"/>
          <w:szCs w:val="22"/>
          <w:lang w:val="en"/>
        </w:rPr>
        <w:t>.</w:t>
      </w:r>
      <w:r w:rsidR="00E624D3">
        <w:rPr>
          <w:rFonts w:asciiTheme="minorHAnsi" w:hAnsiTheme="minorHAnsi" w:cstheme="minorHAnsi"/>
          <w:b w:val="0"/>
          <w:sz w:val="22"/>
          <w:szCs w:val="22"/>
          <w:lang w:val="en"/>
        </w:rPr>
        <w:t xml:space="preserve"> </w:t>
      </w:r>
      <w:r w:rsidR="004C5A81">
        <w:rPr>
          <w:rFonts w:asciiTheme="minorHAnsi" w:hAnsiTheme="minorHAnsi" w:cstheme="minorHAnsi"/>
          <w:b w:val="0"/>
          <w:sz w:val="22"/>
          <w:szCs w:val="22"/>
          <w:lang w:val="en"/>
        </w:rPr>
        <w:t>If you combine these assumptions with the generally accepted view that children’s brains are developing the m</w:t>
      </w:r>
      <w:r w:rsidR="000301B1">
        <w:rPr>
          <w:rFonts w:asciiTheme="minorHAnsi" w:hAnsiTheme="minorHAnsi" w:cstheme="minorHAnsi"/>
          <w:b w:val="0"/>
          <w:sz w:val="22"/>
          <w:szCs w:val="22"/>
          <w:lang w:val="en"/>
        </w:rPr>
        <w:t>ost from 0</w:t>
      </w:r>
      <w:r w:rsidR="004C5A81">
        <w:rPr>
          <w:rFonts w:asciiTheme="minorHAnsi" w:hAnsiTheme="minorHAnsi" w:cstheme="minorHAnsi"/>
          <w:b w:val="0"/>
          <w:sz w:val="22"/>
          <w:szCs w:val="22"/>
          <w:lang w:val="en"/>
        </w:rPr>
        <w:t xml:space="preserve"> to 3</w:t>
      </w:r>
      <w:r w:rsidR="000A63CE">
        <w:rPr>
          <w:rFonts w:asciiTheme="minorHAnsi" w:hAnsiTheme="minorHAnsi" w:cstheme="minorHAnsi"/>
          <w:b w:val="0"/>
          <w:sz w:val="22"/>
          <w:szCs w:val="22"/>
          <w:lang w:val="en"/>
        </w:rPr>
        <w:t xml:space="preserve"> years</w:t>
      </w:r>
      <w:r w:rsidR="004C5A81">
        <w:rPr>
          <w:rFonts w:asciiTheme="minorHAnsi" w:hAnsiTheme="minorHAnsi" w:cstheme="minorHAnsi"/>
          <w:b w:val="0"/>
          <w:sz w:val="22"/>
          <w:szCs w:val="22"/>
          <w:lang w:val="en"/>
        </w:rPr>
        <w:t xml:space="preserve">, this would suggest, </w:t>
      </w:r>
      <w:r w:rsidR="004C5A81" w:rsidRPr="004C5A81">
        <w:rPr>
          <w:rFonts w:asciiTheme="minorHAnsi" w:hAnsiTheme="minorHAnsi" w:cstheme="minorHAnsi"/>
          <w:b w:val="0"/>
          <w:i/>
          <w:sz w:val="22"/>
          <w:szCs w:val="22"/>
          <w:lang w:val="en"/>
        </w:rPr>
        <w:t>prima facie</w:t>
      </w:r>
      <w:r w:rsidR="004C5A81">
        <w:rPr>
          <w:rFonts w:asciiTheme="minorHAnsi" w:hAnsiTheme="minorHAnsi" w:cstheme="minorHAnsi"/>
          <w:b w:val="0"/>
          <w:sz w:val="22"/>
          <w:szCs w:val="22"/>
          <w:lang w:val="en"/>
        </w:rPr>
        <w:t xml:space="preserve">, that new funding should be targeted at </w:t>
      </w:r>
      <w:r w:rsidR="00EB7641">
        <w:rPr>
          <w:rFonts w:asciiTheme="minorHAnsi" w:hAnsiTheme="minorHAnsi" w:cstheme="minorHAnsi"/>
          <w:b w:val="0"/>
          <w:sz w:val="22"/>
          <w:szCs w:val="22"/>
          <w:lang w:val="en"/>
        </w:rPr>
        <w:t xml:space="preserve">children in </w:t>
      </w:r>
      <w:r w:rsidR="004C5A81">
        <w:rPr>
          <w:rFonts w:asciiTheme="minorHAnsi" w:hAnsiTheme="minorHAnsi" w:cstheme="minorHAnsi"/>
          <w:b w:val="0"/>
          <w:sz w:val="22"/>
          <w:szCs w:val="22"/>
          <w:lang w:val="en"/>
        </w:rPr>
        <w:t>the early childhood sector</w:t>
      </w:r>
      <w:r w:rsidR="00326988">
        <w:rPr>
          <w:rFonts w:asciiTheme="minorHAnsi" w:hAnsiTheme="minorHAnsi" w:cstheme="minorHAnsi"/>
          <w:b w:val="0"/>
          <w:sz w:val="22"/>
          <w:szCs w:val="22"/>
          <w:lang w:val="en"/>
        </w:rPr>
        <w:t xml:space="preserve"> in low decile </w:t>
      </w:r>
      <w:r w:rsidR="00177AEE">
        <w:rPr>
          <w:rFonts w:asciiTheme="minorHAnsi" w:hAnsiTheme="minorHAnsi" w:cstheme="minorHAnsi"/>
          <w:b w:val="0"/>
          <w:sz w:val="22"/>
          <w:szCs w:val="22"/>
          <w:lang w:val="en"/>
        </w:rPr>
        <w:t>areas</w:t>
      </w:r>
      <w:r w:rsidR="004C5A81">
        <w:rPr>
          <w:rFonts w:asciiTheme="minorHAnsi" w:hAnsiTheme="minorHAnsi" w:cstheme="minorHAnsi"/>
          <w:b w:val="0"/>
          <w:sz w:val="22"/>
          <w:szCs w:val="22"/>
          <w:lang w:val="en"/>
        </w:rPr>
        <w:t xml:space="preserve">. </w:t>
      </w:r>
    </w:p>
    <w:p w:rsidR="00F457DD" w:rsidRPr="00F457DD" w:rsidRDefault="00F457DD" w:rsidP="00F457DD">
      <w:pPr>
        <w:ind w:firstLine="720"/>
        <w:rPr>
          <w:rFonts w:cstheme="minorHAnsi"/>
          <w:u w:val="single"/>
        </w:rPr>
      </w:pPr>
      <w:r w:rsidRPr="00FA5A69">
        <w:rPr>
          <w:rFonts w:cstheme="minorHAnsi"/>
          <w:u w:val="single"/>
        </w:rPr>
        <w:t xml:space="preserve">Supply of low cost </w:t>
      </w:r>
      <w:r w:rsidR="00365B54">
        <w:rPr>
          <w:rFonts w:cstheme="minorHAnsi"/>
          <w:u w:val="single"/>
        </w:rPr>
        <w:t xml:space="preserve">quality </w:t>
      </w:r>
      <w:r w:rsidRPr="00FA5A69">
        <w:rPr>
          <w:rFonts w:cstheme="minorHAnsi"/>
          <w:u w:val="single"/>
        </w:rPr>
        <w:t>housing and warrant of fitness standards for rental dwelling</w:t>
      </w:r>
      <w:r w:rsidR="00E82C68">
        <w:rPr>
          <w:rFonts w:cstheme="minorHAnsi"/>
          <w:u w:val="single"/>
        </w:rPr>
        <w:t>s</w:t>
      </w:r>
      <w:r w:rsidRPr="00FA5A69">
        <w:rPr>
          <w:rFonts w:cstheme="minorHAnsi"/>
          <w:u w:val="single"/>
        </w:rPr>
        <w:t xml:space="preserve"> </w:t>
      </w:r>
    </w:p>
    <w:p w:rsidR="00F457DD" w:rsidRDefault="00F457DD" w:rsidP="00F457DD">
      <w:pPr>
        <w:ind w:left="720" w:hanging="720"/>
        <w:rPr>
          <w:rFonts w:cstheme="minorHAnsi"/>
        </w:rPr>
      </w:pPr>
      <w:r>
        <w:rPr>
          <w:rFonts w:cstheme="minorHAnsi"/>
        </w:rPr>
        <w:t>81</w:t>
      </w:r>
      <w:r>
        <w:rPr>
          <w:rFonts w:cstheme="minorHAnsi"/>
        </w:rPr>
        <w:tab/>
        <w:t>The drivers behind the affordability of our housing stock are complex and have recently been reviewed by the New Zealand Productivity Commission (NZPC) with the following conclusions:</w:t>
      </w:r>
    </w:p>
    <w:p w:rsidR="00F457DD" w:rsidRPr="002B04EE" w:rsidRDefault="00F457DD" w:rsidP="00F457DD">
      <w:pPr>
        <w:pStyle w:val="NoSpacing"/>
        <w:numPr>
          <w:ilvl w:val="0"/>
          <w:numId w:val="25"/>
        </w:numPr>
        <w:rPr>
          <w:lang w:val="en"/>
        </w:rPr>
      </w:pPr>
      <w:r w:rsidRPr="002B04EE">
        <w:rPr>
          <w:lang w:val="en"/>
        </w:rPr>
        <w:t xml:space="preserve">taxation </w:t>
      </w:r>
      <w:r>
        <w:rPr>
          <w:lang w:val="en"/>
        </w:rPr>
        <w:t xml:space="preserve">policy </w:t>
      </w:r>
      <w:r w:rsidRPr="002B04EE">
        <w:rPr>
          <w:lang w:val="en"/>
        </w:rPr>
        <w:t>was not a key driver</w:t>
      </w:r>
      <w:r>
        <w:rPr>
          <w:lang w:val="en"/>
        </w:rPr>
        <w:t xml:space="preserve"> of housing affordability;</w:t>
      </w:r>
    </w:p>
    <w:p w:rsidR="00F457DD" w:rsidRDefault="00F457DD" w:rsidP="00F457DD">
      <w:pPr>
        <w:pStyle w:val="NoSpacing"/>
        <w:numPr>
          <w:ilvl w:val="0"/>
          <w:numId w:val="25"/>
        </w:numPr>
        <w:rPr>
          <w:lang w:val="en"/>
        </w:rPr>
      </w:pPr>
      <w:r>
        <w:rPr>
          <w:lang w:val="en"/>
        </w:rPr>
        <w:t>c</w:t>
      </w:r>
      <w:r w:rsidRPr="002B04EE">
        <w:rPr>
          <w:lang w:val="en"/>
        </w:rPr>
        <w:t>ontainment policies such as ‘Smart Growth’ and Auckland’s Metropolitan Urban Limit (MUL) were have an adverse effect on housing affordability by limiting the a</w:t>
      </w:r>
      <w:r>
        <w:rPr>
          <w:lang w:val="en"/>
        </w:rPr>
        <w:t>vailability of land for housing;</w:t>
      </w:r>
    </w:p>
    <w:p w:rsidR="00F457DD" w:rsidRDefault="00F457DD" w:rsidP="00F457DD">
      <w:pPr>
        <w:pStyle w:val="NoSpacing"/>
        <w:numPr>
          <w:ilvl w:val="0"/>
          <w:numId w:val="25"/>
        </w:numPr>
        <w:rPr>
          <w:lang w:val="en"/>
        </w:rPr>
      </w:pPr>
      <w:r>
        <w:rPr>
          <w:lang w:val="en"/>
        </w:rPr>
        <w:t xml:space="preserve">a need to urgently </w:t>
      </w:r>
      <w:r w:rsidRPr="002B04EE">
        <w:rPr>
          <w:lang w:val="en"/>
        </w:rPr>
        <w:t>release new land for residential development in high demand areas such as Auckland and Christchurch</w:t>
      </w:r>
      <w:r>
        <w:rPr>
          <w:lang w:val="en"/>
        </w:rPr>
        <w:t>; and</w:t>
      </w:r>
    </w:p>
    <w:p w:rsidR="00F457DD" w:rsidRDefault="00F457DD" w:rsidP="00F457DD">
      <w:pPr>
        <w:pStyle w:val="NoSpacing"/>
        <w:numPr>
          <w:ilvl w:val="0"/>
          <w:numId w:val="25"/>
        </w:numPr>
        <w:rPr>
          <w:lang w:val="en"/>
        </w:rPr>
      </w:pPr>
      <w:r>
        <w:rPr>
          <w:lang w:val="en"/>
        </w:rPr>
        <w:t xml:space="preserve">reconsider the </w:t>
      </w:r>
      <w:r w:rsidRPr="002B04EE">
        <w:rPr>
          <w:lang w:val="en"/>
        </w:rPr>
        <w:t>current social housing</w:t>
      </w:r>
      <w:r>
        <w:rPr>
          <w:lang w:val="en"/>
        </w:rPr>
        <w:t xml:space="preserve"> policy settings</w:t>
      </w:r>
      <w:r w:rsidRPr="002B04EE">
        <w:rPr>
          <w:lang w:val="en"/>
        </w:rPr>
        <w:t>.</w:t>
      </w:r>
    </w:p>
    <w:p w:rsidR="00F457DD" w:rsidRPr="002B04EE" w:rsidRDefault="00F457DD" w:rsidP="00F457DD">
      <w:pPr>
        <w:pStyle w:val="NoSpacing"/>
        <w:rPr>
          <w:lang w:val="en"/>
        </w:rPr>
      </w:pPr>
    </w:p>
    <w:p w:rsidR="0037461F" w:rsidRDefault="00F457DD" w:rsidP="003C086D">
      <w:pPr>
        <w:ind w:left="720" w:hanging="720"/>
        <w:rPr>
          <w:rFonts w:cstheme="minorHAnsi"/>
        </w:rPr>
      </w:pPr>
      <w:r>
        <w:rPr>
          <w:rFonts w:cstheme="minorHAnsi"/>
          <w:lang w:val="en"/>
        </w:rPr>
        <w:t>82</w:t>
      </w:r>
      <w:r>
        <w:rPr>
          <w:rFonts w:cstheme="minorHAnsi"/>
          <w:lang w:val="en"/>
        </w:rPr>
        <w:tab/>
        <w:t>The report notes the</w:t>
      </w:r>
      <w:r w:rsidRPr="002B04EE">
        <w:rPr>
          <w:rFonts w:cstheme="minorHAnsi"/>
          <w:lang w:val="en"/>
        </w:rPr>
        <w:t xml:space="preserve"> </w:t>
      </w:r>
      <w:r>
        <w:rPr>
          <w:rFonts w:cstheme="minorHAnsi"/>
          <w:lang w:val="en"/>
        </w:rPr>
        <w:t>“</w:t>
      </w:r>
      <w:r w:rsidRPr="002B04EE">
        <w:rPr>
          <w:rFonts w:cstheme="minorHAnsi"/>
          <w:lang w:val="en"/>
        </w:rPr>
        <w:t xml:space="preserve">community housing sector has a unique and very valuable role to fill.  It can provide below market rents and more security of tenure than is available from private landlords. It is also well suited to providing the range of ‘wrap around’ services required by many social housing tenants with needs that run well </w:t>
      </w:r>
      <w:r>
        <w:rPr>
          <w:rFonts w:cstheme="minorHAnsi"/>
          <w:lang w:val="en"/>
        </w:rPr>
        <w:t xml:space="preserve">beyond just affordable housing”, see </w:t>
      </w:r>
      <w:r>
        <w:rPr>
          <w:rFonts w:cstheme="minorHAnsi"/>
        </w:rPr>
        <w:t>“</w:t>
      </w:r>
      <w:r w:rsidRPr="00D849A2">
        <w:rPr>
          <w:rFonts w:cstheme="minorHAnsi"/>
          <w:i/>
        </w:rPr>
        <w:t>Housing Affordability</w:t>
      </w:r>
      <w:r>
        <w:rPr>
          <w:rFonts w:cstheme="minorHAnsi"/>
        </w:rPr>
        <w:t>”</w:t>
      </w:r>
      <w:r w:rsidRPr="002B04EE">
        <w:rPr>
          <w:rFonts w:cstheme="minorHAnsi"/>
        </w:rPr>
        <w:t xml:space="preserve">, </w:t>
      </w:r>
      <w:r>
        <w:rPr>
          <w:rFonts w:cstheme="minorHAnsi"/>
        </w:rPr>
        <w:t>NZPC</w:t>
      </w:r>
      <w:r w:rsidRPr="002B04EE">
        <w:rPr>
          <w:rFonts w:cstheme="minorHAnsi"/>
        </w:rPr>
        <w:t xml:space="preserve">, </w:t>
      </w:r>
      <w:r>
        <w:rPr>
          <w:rFonts w:cstheme="minorHAnsi"/>
        </w:rPr>
        <w:t>(</w:t>
      </w:r>
      <w:r w:rsidRPr="002B04EE">
        <w:rPr>
          <w:rFonts w:cstheme="minorHAnsi"/>
        </w:rPr>
        <w:t>2012</w:t>
      </w:r>
      <w:r>
        <w:rPr>
          <w:rFonts w:cstheme="minorHAnsi"/>
        </w:rPr>
        <w:t xml:space="preserve">). </w:t>
      </w:r>
      <w:r w:rsidR="00A31D1F">
        <w:rPr>
          <w:rFonts w:cstheme="minorHAnsi"/>
        </w:rPr>
        <w:t xml:space="preserve"> </w:t>
      </w:r>
    </w:p>
    <w:p w:rsidR="00AD4998" w:rsidRDefault="0037461F" w:rsidP="003C086D">
      <w:pPr>
        <w:ind w:left="720" w:hanging="720"/>
        <w:rPr>
          <w:rFonts w:cstheme="minorHAnsi"/>
        </w:rPr>
      </w:pPr>
      <w:r>
        <w:rPr>
          <w:rFonts w:cstheme="minorHAnsi"/>
        </w:rPr>
        <w:t>83</w:t>
      </w:r>
      <w:r>
        <w:rPr>
          <w:rFonts w:cstheme="minorHAnsi"/>
        </w:rPr>
        <w:tab/>
      </w:r>
      <w:r w:rsidR="00D849A2" w:rsidRPr="00D849A2">
        <w:rPr>
          <w:rFonts w:cstheme="minorHAnsi"/>
        </w:rPr>
        <w:t>It is difficult to get a definitive answer on the size of the rental housing problem (defined as accommodation below a reasonable standard)</w:t>
      </w:r>
      <w:r w:rsidR="00B63D55" w:rsidRPr="00D849A2">
        <w:rPr>
          <w:rFonts w:cstheme="minorHAnsi"/>
        </w:rPr>
        <w:t xml:space="preserve">, </w:t>
      </w:r>
      <w:r w:rsidR="00B63D55">
        <w:rPr>
          <w:rFonts w:cstheme="minorHAnsi"/>
        </w:rPr>
        <w:t>one</w:t>
      </w:r>
      <w:r w:rsidR="002B0413">
        <w:rPr>
          <w:rFonts w:cstheme="minorHAnsi"/>
        </w:rPr>
        <w:t xml:space="preserve"> </w:t>
      </w:r>
      <w:r w:rsidR="00D849A2" w:rsidRPr="00D849A2">
        <w:rPr>
          <w:rFonts w:cstheme="minorHAnsi"/>
        </w:rPr>
        <w:t xml:space="preserve">estimate is </w:t>
      </w:r>
      <w:r w:rsidR="00D849A2">
        <w:t xml:space="preserve">300 </w:t>
      </w:r>
      <w:r w:rsidR="00D849A2" w:rsidRPr="00D849A2">
        <w:t>urban homeless with between 500 and 1000 people in rural improvised housing</w:t>
      </w:r>
      <w:r w:rsidR="00D849A2">
        <w:t>, and</w:t>
      </w:r>
      <w:r w:rsidR="00D849A2" w:rsidRPr="00D849A2">
        <w:t xml:space="preserve"> between 8,000 and 20,000 in temporary accommodation, so a range between 12,000 and 22,000</w:t>
      </w:r>
      <w:r w:rsidR="00D849A2">
        <w:t xml:space="preserve"> </w:t>
      </w:r>
      <w:r w:rsidR="00A91421">
        <w:t>people</w:t>
      </w:r>
      <w:r w:rsidR="00A91421">
        <w:rPr>
          <w:rFonts w:cstheme="minorHAnsi"/>
        </w:rPr>
        <w:t>,</w:t>
      </w:r>
      <w:r w:rsidR="003C086D">
        <w:rPr>
          <w:rFonts w:cstheme="minorHAnsi"/>
        </w:rPr>
        <w:t xml:space="preserve"> see “</w:t>
      </w:r>
      <w:r w:rsidR="00D849A2" w:rsidRPr="00D849A2">
        <w:rPr>
          <w:rStyle w:val="googqs-tidbit1"/>
          <w:rFonts w:cstheme="minorHAnsi"/>
          <w:i/>
          <w:specVanish w:val="0"/>
        </w:rPr>
        <w:t>Home and Housed: A Vision for Social Housing in New Zealand</w:t>
      </w:r>
      <w:r w:rsidR="00D849A2" w:rsidRPr="00D849A2">
        <w:rPr>
          <w:rStyle w:val="googqs-tidbit1"/>
          <w:rFonts w:cstheme="minorHAnsi"/>
          <w:specVanish w:val="0"/>
        </w:rPr>
        <w:t xml:space="preserve">”, </w:t>
      </w:r>
      <w:r w:rsidR="00D849A2" w:rsidRPr="00D849A2">
        <w:rPr>
          <w:rFonts w:cstheme="minorHAnsi"/>
        </w:rPr>
        <w:t xml:space="preserve">Housing Shareholders Advisory Group, 2010. </w:t>
      </w:r>
      <w:r w:rsidR="00B968DF">
        <w:rPr>
          <w:rFonts w:cstheme="minorHAnsi"/>
        </w:rPr>
        <w:t xml:space="preserve">However, this analysis has been criticised as being very light on the number of homeless people and for not addressing the </w:t>
      </w:r>
      <w:r w:rsidR="00B63D55">
        <w:t>endogenei</w:t>
      </w:r>
      <w:r w:rsidR="00B968DF" w:rsidRPr="00B968DF">
        <w:t xml:space="preserve">ty issue i.e. part of the rental problem is overcrowding, </w:t>
      </w:r>
      <w:r w:rsidR="00B968DF">
        <w:t>for example</w:t>
      </w:r>
      <w:r w:rsidR="00B968DF" w:rsidRPr="00B968DF">
        <w:t xml:space="preserve"> three families in a three bedroom house. </w:t>
      </w:r>
    </w:p>
    <w:p w:rsidR="00F457DD" w:rsidRPr="002D1E95" w:rsidRDefault="0037461F" w:rsidP="002D1E95">
      <w:pPr>
        <w:ind w:left="720" w:hanging="720"/>
        <w:rPr>
          <w:rFonts w:eastAsia="Times New Roman" w:cstheme="minorHAnsi"/>
        </w:rPr>
      </w:pPr>
      <w:r>
        <w:rPr>
          <w:rFonts w:cstheme="minorHAnsi"/>
        </w:rPr>
        <w:t>84</w:t>
      </w:r>
      <w:r w:rsidR="00AD4998" w:rsidRPr="002D1E95">
        <w:rPr>
          <w:rFonts w:cstheme="minorHAnsi"/>
        </w:rPr>
        <w:tab/>
      </w:r>
      <w:r w:rsidR="00A31D1F" w:rsidRPr="002D1E95">
        <w:rPr>
          <w:rFonts w:cstheme="minorHAnsi"/>
        </w:rPr>
        <w:t xml:space="preserve">We have a strong view that </w:t>
      </w:r>
      <w:r w:rsidR="00A31D1F" w:rsidRPr="002D1E95">
        <w:rPr>
          <w:lang w:val="en-US"/>
        </w:rPr>
        <w:t>housing stability is an important element in forming community cohesion and well-being especially for families with young children, mix</w:t>
      </w:r>
      <w:r w:rsidR="00B07081" w:rsidRPr="002D1E95">
        <w:rPr>
          <w:lang w:val="en-US"/>
        </w:rPr>
        <w:t>ed with the necessity</w:t>
      </w:r>
      <w:r w:rsidR="00A31D1F" w:rsidRPr="002D1E95">
        <w:rPr>
          <w:lang w:val="en-US"/>
        </w:rPr>
        <w:t xml:space="preserve"> of labour market mobility. </w:t>
      </w:r>
      <w:r w:rsidR="006D1E74">
        <w:rPr>
          <w:lang w:val="en-US"/>
        </w:rPr>
        <w:t>High levels of t</w:t>
      </w:r>
      <w:r w:rsidR="00EB231A" w:rsidRPr="002D1E95">
        <w:rPr>
          <w:lang w:val="en-US"/>
        </w:rPr>
        <w:t>ransience is very detrimental to healthy attachment formation in</w:t>
      </w:r>
      <w:r w:rsidR="002D1E95">
        <w:rPr>
          <w:lang w:val="en-US"/>
        </w:rPr>
        <w:t xml:space="preserve"> young children, see </w:t>
      </w:r>
      <w:r w:rsidR="002D1E95" w:rsidRPr="002D1E95">
        <w:rPr>
          <w:rFonts w:cstheme="minorHAnsi"/>
        </w:rPr>
        <w:t>“</w:t>
      </w:r>
      <w:r w:rsidR="002D1E95" w:rsidRPr="002D1E95">
        <w:rPr>
          <w:rFonts w:eastAsia="Times New Roman" w:cstheme="minorHAnsi"/>
          <w:i/>
        </w:rPr>
        <w:t>I</w:t>
      </w:r>
      <w:r w:rsidR="002D1E95" w:rsidRPr="002D1E95">
        <w:rPr>
          <w:rFonts w:cstheme="minorHAnsi"/>
          <w:i/>
        </w:rPr>
        <w:t>mplications of Homelessness for Parenting Young Children: A Preliminary Review from a Development Attachment Perspective</w:t>
      </w:r>
      <w:r w:rsidR="002D1E95" w:rsidRPr="002D1E95">
        <w:rPr>
          <w:rFonts w:cstheme="minorHAnsi"/>
        </w:rPr>
        <w:t xml:space="preserve">”, Infant Mental Health Journal, </w:t>
      </w:r>
      <w:hyperlink r:id="rId12" w:history="1">
        <w:r w:rsidR="002D1E95" w:rsidRPr="002D1E95">
          <w:rPr>
            <w:rStyle w:val="Hyperlink"/>
            <w:rFonts w:cstheme="minorHAnsi"/>
            <w:color w:val="auto"/>
            <w:u w:val="none"/>
          </w:rPr>
          <w:t>David DH</w:t>
        </w:r>
      </w:hyperlink>
      <w:r w:rsidR="002D1E95" w:rsidRPr="002D1E95">
        <w:rPr>
          <w:rFonts w:cstheme="minorHAnsi"/>
        </w:rPr>
        <w:t xml:space="preserve">, </w:t>
      </w:r>
      <w:hyperlink r:id="rId13" w:history="1">
        <w:r w:rsidR="002D1E95" w:rsidRPr="002D1E95">
          <w:rPr>
            <w:rStyle w:val="Hyperlink"/>
            <w:rFonts w:cstheme="minorHAnsi"/>
            <w:color w:val="auto"/>
            <w:u w:val="none"/>
          </w:rPr>
          <w:t>Gelberg L</w:t>
        </w:r>
      </w:hyperlink>
      <w:r w:rsidR="002D1E95" w:rsidRPr="002D1E95">
        <w:rPr>
          <w:rFonts w:cstheme="minorHAnsi"/>
        </w:rPr>
        <w:t xml:space="preserve">, </w:t>
      </w:r>
      <w:hyperlink r:id="rId14" w:history="1">
        <w:r w:rsidR="002D1E95" w:rsidRPr="002D1E95">
          <w:rPr>
            <w:rStyle w:val="Hyperlink"/>
            <w:rFonts w:cstheme="minorHAnsi"/>
            <w:color w:val="auto"/>
            <w:u w:val="none"/>
          </w:rPr>
          <w:t>Suchman NE</w:t>
        </w:r>
      </w:hyperlink>
      <w:r w:rsidR="002D1E95" w:rsidRPr="002D1E95">
        <w:rPr>
          <w:rFonts w:cstheme="minorHAnsi"/>
        </w:rPr>
        <w:t xml:space="preserve">, Yale University School of Medicine and Yale Program for </w:t>
      </w:r>
      <w:r w:rsidR="00295A67">
        <w:rPr>
          <w:rFonts w:cstheme="minorHAnsi"/>
        </w:rPr>
        <w:t xml:space="preserve">Recovery and Community Health, </w:t>
      </w:r>
      <w:r w:rsidR="002D1E95">
        <w:rPr>
          <w:rFonts w:cstheme="minorHAnsi"/>
        </w:rPr>
        <w:t xml:space="preserve">2012. </w:t>
      </w:r>
    </w:p>
    <w:p w:rsidR="00F457DD" w:rsidRPr="002B04EE" w:rsidRDefault="0037461F" w:rsidP="00F457DD">
      <w:pPr>
        <w:ind w:left="720" w:hanging="720"/>
        <w:rPr>
          <w:rFonts w:cstheme="minorHAnsi"/>
        </w:rPr>
      </w:pPr>
      <w:r>
        <w:rPr>
          <w:rFonts w:cstheme="minorHAnsi"/>
        </w:rPr>
        <w:lastRenderedPageBreak/>
        <w:t>85</w:t>
      </w:r>
      <w:r w:rsidR="00F457DD">
        <w:rPr>
          <w:rFonts w:cstheme="minorHAnsi"/>
        </w:rPr>
        <w:tab/>
        <w:t>We are not qualified to comment further on the macro drivers of low cost housing, but believe there is value in identifying the areas of possible market and Government failure which further research could focus on:</w:t>
      </w:r>
    </w:p>
    <w:p w:rsidR="00F457DD" w:rsidRPr="002B04EE" w:rsidRDefault="00F457DD" w:rsidP="00F457DD">
      <w:pPr>
        <w:pStyle w:val="ListParagraph"/>
        <w:numPr>
          <w:ilvl w:val="0"/>
          <w:numId w:val="28"/>
        </w:numPr>
        <w:ind w:left="990"/>
        <w:rPr>
          <w:rFonts w:asciiTheme="minorHAnsi" w:hAnsiTheme="minorHAnsi" w:cstheme="minorHAnsi"/>
        </w:rPr>
      </w:pPr>
      <w:r w:rsidRPr="002B04EE">
        <w:rPr>
          <w:rFonts w:asciiTheme="minorHAnsi" w:hAnsiTheme="minorHAnsi" w:cstheme="minorHAnsi"/>
        </w:rPr>
        <w:t xml:space="preserve">barriers to </w:t>
      </w:r>
      <w:r>
        <w:rPr>
          <w:rFonts w:asciiTheme="minorHAnsi" w:hAnsiTheme="minorHAnsi" w:cstheme="minorHAnsi"/>
        </w:rPr>
        <w:t xml:space="preserve">the </w:t>
      </w:r>
      <w:r w:rsidRPr="002B04EE">
        <w:rPr>
          <w:rFonts w:asciiTheme="minorHAnsi" w:hAnsiTheme="minorHAnsi" w:cstheme="minorHAnsi"/>
        </w:rPr>
        <w:t>supply low cost accommodation i.e. R</w:t>
      </w:r>
      <w:r>
        <w:rPr>
          <w:rFonts w:asciiTheme="minorHAnsi" w:hAnsiTheme="minorHAnsi" w:cstheme="minorHAnsi"/>
        </w:rPr>
        <w:t xml:space="preserve">esource Management </w:t>
      </w:r>
      <w:r w:rsidRPr="002B04EE">
        <w:rPr>
          <w:rFonts w:asciiTheme="minorHAnsi" w:hAnsiTheme="minorHAnsi" w:cstheme="minorHAnsi"/>
        </w:rPr>
        <w:t>A</w:t>
      </w:r>
      <w:r>
        <w:rPr>
          <w:rFonts w:asciiTheme="minorHAnsi" w:hAnsiTheme="minorHAnsi" w:cstheme="minorHAnsi"/>
        </w:rPr>
        <w:t>ct</w:t>
      </w:r>
      <w:r w:rsidRPr="002B04EE">
        <w:rPr>
          <w:rFonts w:asciiTheme="minorHAnsi" w:hAnsiTheme="minorHAnsi" w:cstheme="minorHAnsi"/>
        </w:rPr>
        <w:t xml:space="preserve"> re</w:t>
      </w:r>
      <w:r>
        <w:rPr>
          <w:rFonts w:asciiTheme="minorHAnsi" w:hAnsiTheme="minorHAnsi" w:cstheme="minorHAnsi"/>
        </w:rPr>
        <w:t xml:space="preserve">strictions, low private return, limited social housing investment, higher risk profile of some tenants; </w:t>
      </w:r>
      <w:r w:rsidRPr="002B04EE">
        <w:rPr>
          <w:rFonts w:asciiTheme="minorHAnsi" w:hAnsiTheme="minorHAnsi" w:cstheme="minorHAnsi"/>
        </w:rPr>
        <w:t xml:space="preserve">and </w:t>
      </w:r>
    </w:p>
    <w:p w:rsidR="00F457DD" w:rsidRPr="002B04EE" w:rsidRDefault="00F457DD" w:rsidP="00F457DD">
      <w:pPr>
        <w:pStyle w:val="ListParagraph"/>
        <w:numPr>
          <w:ilvl w:val="0"/>
          <w:numId w:val="28"/>
        </w:numPr>
        <w:ind w:left="990"/>
        <w:rPr>
          <w:rFonts w:asciiTheme="minorHAnsi" w:hAnsiTheme="minorHAnsi" w:cstheme="minorHAnsi"/>
        </w:rPr>
      </w:pPr>
      <w:r>
        <w:rPr>
          <w:rFonts w:asciiTheme="minorHAnsi" w:hAnsiTheme="minorHAnsi" w:cstheme="minorHAnsi"/>
        </w:rPr>
        <w:t xml:space="preserve">potential information </w:t>
      </w:r>
      <w:r w:rsidRPr="002B04EE">
        <w:rPr>
          <w:rFonts w:asciiTheme="minorHAnsi" w:hAnsiTheme="minorHAnsi" w:cstheme="minorHAnsi"/>
        </w:rPr>
        <w:t xml:space="preserve">asymmetry </w:t>
      </w:r>
      <w:r>
        <w:rPr>
          <w:rFonts w:asciiTheme="minorHAnsi" w:hAnsiTheme="minorHAnsi" w:cstheme="minorHAnsi"/>
        </w:rPr>
        <w:t xml:space="preserve">and </w:t>
      </w:r>
      <w:r w:rsidRPr="002B04EE">
        <w:rPr>
          <w:rFonts w:asciiTheme="minorHAnsi" w:hAnsiTheme="minorHAnsi" w:cstheme="minorHAnsi"/>
        </w:rPr>
        <w:t xml:space="preserve">opportunism by both renters and landlords. </w:t>
      </w:r>
    </w:p>
    <w:p w:rsidR="00F457DD" w:rsidRDefault="00F457DD" w:rsidP="00F457DD">
      <w:pPr>
        <w:rPr>
          <w:rFonts w:cstheme="minorHAnsi"/>
        </w:rPr>
      </w:pPr>
    </w:p>
    <w:p w:rsidR="00F457DD" w:rsidRDefault="0037461F" w:rsidP="00E82C68">
      <w:pPr>
        <w:ind w:left="720" w:hanging="675"/>
        <w:rPr>
          <w:rFonts w:cstheme="minorHAnsi"/>
        </w:rPr>
      </w:pPr>
      <w:r>
        <w:rPr>
          <w:rFonts w:cstheme="minorHAnsi"/>
        </w:rPr>
        <w:t>86</w:t>
      </w:r>
      <w:r w:rsidR="00F457DD">
        <w:rPr>
          <w:rFonts w:cstheme="minorHAnsi"/>
        </w:rPr>
        <w:tab/>
        <w:t xml:space="preserve">For some renters and landlords </w:t>
      </w:r>
      <w:r w:rsidR="00F457DD" w:rsidRPr="002B04EE">
        <w:rPr>
          <w:rFonts w:cstheme="minorHAnsi"/>
        </w:rPr>
        <w:t>housing</w:t>
      </w:r>
      <w:r w:rsidR="00F457DD">
        <w:rPr>
          <w:rFonts w:cstheme="minorHAnsi"/>
        </w:rPr>
        <w:t xml:space="preserve"> is kind of an experience good, </w:t>
      </w:r>
      <w:r w:rsidR="00F457DD" w:rsidRPr="002B04EE">
        <w:rPr>
          <w:rFonts w:cstheme="minorHAnsi"/>
        </w:rPr>
        <w:t>it’s difficult to assess quality until</w:t>
      </w:r>
      <w:r w:rsidR="00F457DD">
        <w:rPr>
          <w:rFonts w:cstheme="minorHAnsi"/>
        </w:rPr>
        <w:t xml:space="preserve"> you have experienced it</w:t>
      </w:r>
      <w:r w:rsidR="00F457DD" w:rsidRPr="002B04EE">
        <w:rPr>
          <w:rFonts w:cstheme="minorHAnsi"/>
        </w:rPr>
        <w:t xml:space="preserve">.  Some form of </w:t>
      </w:r>
      <w:r w:rsidR="00F457DD">
        <w:rPr>
          <w:rFonts w:cstheme="minorHAnsi"/>
        </w:rPr>
        <w:t xml:space="preserve">minimum </w:t>
      </w:r>
      <w:r w:rsidR="00F457DD" w:rsidRPr="002B04EE">
        <w:rPr>
          <w:rFonts w:cstheme="minorHAnsi"/>
        </w:rPr>
        <w:t>information provision may therefore redu</w:t>
      </w:r>
      <w:r w:rsidR="00F457DD">
        <w:rPr>
          <w:rFonts w:cstheme="minorHAnsi"/>
        </w:rPr>
        <w:t>ce waste and costs for both renters and landlords</w:t>
      </w:r>
      <w:r w:rsidR="00F457DD" w:rsidRPr="002B04EE">
        <w:rPr>
          <w:rFonts w:cstheme="minorHAnsi"/>
        </w:rPr>
        <w:t>.</w:t>
      </w:r>
      <w:r w:rsidR="00F457DD">
        <w:rPr>
          <w:rFonts w:cstheme="minorHAnsi"/>
        </w:rPr>
        <w:t xml:space="preserve"> It is important to consider the information problems faced by both owners and tenants because face different issues:</w:t>
      </w:r>
    </w:p>
    <w:p w:rsidR="00F457DD" w:rsidRDefault="00F457DD" w:rsidP="00F457DD">
      <w:pPr>
        <w:pStyle w:val="NoSpacing"/>
        <w:numPr>
          <w:ilvl w:val="0"/>
          <w:numId w:val="26"/>
        </w:numPr>
      </w:pPr>
      <w:r w:rsidRPr="00FA5A69">
        <w:t>adverse selection ‘problem</w:t>
      </w:r>
      <w:r w:rsidR="00D56A52">
        <w:t>s</w:t>
      </w:r>
      <w:r w:rsidRPr="00FA5A69">
        <w:t>’ for renters, it may be hard for potential renters to know if the place is adequate heated, the insulat</w:t>
      </w:r>
      <w:r>
        <w:t>ion sound, is sanity and safe etc; and</w:t>
      </w:r>
    </w:p>
    <w:p w:rsidR="00F457DD" w:rsidRDefault="00F457DD" w:rsidP="00F457DD">
      <w:pPr>
        <w:pStyle w:val="NoSpacing"/>
        <w:numPr>
          <w:ilvl w:val="0"/>
          <w:numId w:val="26"/>
        </w:numPr>
      </w:pPr>
      <w:r w:rsidRPr="00FA5A69">
        <w:t>moral hazard “problem</w:t>
      </w:r>
      <w:r w:rsidR="00D56A52">
        <w:t>s</w:t>
      </w:r>
      <w:r w:rsidRPr="00FA5A69">
        <w:t>’</w:t>
      </w:r>
      <w:r>
        <w:t xml:space="preserve">  for owners</w:t>
      </w:r>
      <w:r w:rsidRPr="00FA5A69">
        <w:t xml:space="preserve"> </w:t>
      </w:r>
      <w:r>
        <w:t xml:space="preserve">who can’t observe </w:t>
      </w:r>
      <w:r w:rsidRPr="00FA5A69">
        <w:t>if renter</w:t>
      </w:r>
      <w:r>
        <w:t>s are</w:t>
      </w:r>
      <w:r w:rsidRPr="00FA5A69">
        <w:t xml:space="preserve"> maintaining the place, no</w:t>
      </w:r>
      <w:r w:rsidR="00404A4B">
        <w:t>t</w:t>
      </w:r>
      <w:r w:rsidRPr="00FA5A69">
        <w:t xml:space="preserve"> doing activities required to maximise insulation/heating i.e. airing houses, opening  windows, </w:t>
      </w:r>
      <w:r>
        <w:t xml:space="preserve"> and </w:t>
      </w:r>
      <w:r w:rsidRPr="00FA5A69">
        <w:t xml:space="preserve">keeping curtains drawn </w:t>
      </w:r>
      <w:r>
        <w:t xml:space="preserve">to maximise heating </w:t>
      </w:r>
      <w:r w:rsidRPr="00FA5A69">
        <w:t xml:space="preserve">etc. </w:t>
      </w:r>
    </w:p>
    <w:p w:rsidR="00F457DD" w:rsidRPr="00F457DD" w:rsidRDefault="00F457DD" w:rsidP="00F457DD">
      <w:pPr>
        <w:pStyle w:val="NoSpacing"/>
        <w:ind w:left="1080"/>
      </w:pPr>
    </w:p>
    <w:p w:rsidR="00F457DD" w:rsidRDefault="0037461F" w:rsidP="00F457DD">
      <w:pPr>
        <w:ind w:left="720" w:hanging="720"/>
        <w:rPr>
          <w:rFonts w:cstheme="minorHAnsi"/>
        </w:rPr>
      </w:pPr>
      <w:r>
        <w:rPr>
          <w:rFonts w:cstheme="minorHAnsi"/>
        </w:rPr>
        <w:t>87</w:t>
      </w:r>
      <w:r w:rsidR="00F457DD">
        <w:rPr>
          <w:rFonts w:cstheme="minorHAnsi"/>
        </w:rPr>
        <w:tab/>
        <w:t xml:space="preserve">As we understand it </w:t>
      </w:r>
      <w:r w:rsidR="00F457DD" w:rsidRPr="002B04EE">
        <w:rPr>
          <w:rFonts w:cstheme="minorHAnsi"/>
        </w:rPr>
        <w:t>there isn’t a N</w:t>
      </w:r>
      <w:r w:rsidR="00F457DD">
        <w:rPr>
          <w:rFonts w:cstheme="minorHAnsi"/>
        </w:rPr>
        <w:t xml:space="preserve">ew </w:t>
      </w:r>
      <w:r w:rsidR="00F457DD" w:rsidRPr="002B04EE">
        <w:rPr>
          <w:rFonts w:cstheme="minorHAnsi"/>
        </w:rPr>
        <w:t>Z</w:t>
      </w:r>
      <w:r w:rsidR="00F457DD">
        <w:rPr>
          <w:rFonts w:cstheme="minorHAnsi"/>
        </w:rPr>
        <w:t>ealand</w:t>
      </w:r>
      <w:r w:rsidR="00F457DD" w:rsidRPr="002B04EE">
        <w:rPr>
          <w:rFonts w:cstheme="minorHAnsi"/>
        </w:rPr>
        <w:t xml:space="preserve"> rental regulatory minimum standard</w:t>
      </w:r>
      <w:r w:rsidR="00F457DD">
        <w:rPr>
          <w:rFonts w:cstheme="minorHAnsi"/>
        </w:rPr>
        <w:t xml:space="preserve"> for renters or landlords</w:t>
      </w:r>
      <w:r w:rsidR="00F457DD" w:rsidRPr="002B04EE">
        <w:rPr>
          <w:rFonts w:cstheme="minorHAnsi"/>
        </w:rPr>
        <w:t xml:space="preserve">.  </w:t>
      </w:r>
      <w:r w:rsidR="00F457DD">
        <w:rPr>
          <w:rFonts w:cstheme="minorHAnsi"/>
        </w:rPr>
        <w:t>There is a building code but</w:t>
      </w:r>
      <w:r w:rsidR="00F457DD" w:rsidRPr="002B04EE">
        <w:rPr>
          <w:rFonts w:cstheme="minorHAnsi"/>
        </w:rPr>
        <w:t xml:space="preserve"> much of that applies to housing constructed after certain periods, and is agnostic on whether the house is for owner or renter use.  There are also laws and regulations applying to </w:t>
      </w:r>
      <w:r w:rsidR="00F457DD">
        <w:rPr>
          <w:rFonts w:cstheme="minorHAnsi"/>
        </w:rPr>
        <w:t xml:space="preserve">different components of a house </w:t>
      </w:r>
      <w:r w:rsidR="00F457DD" w:rsidRPr="002B04EE">
        <w:rPr>
          <w:rFonts w:cstheme="minorHAnsi"/>
        </w:rPr>
        <w:t>e.g. plumbing, gas fitting</w:t>
      </w:r>
      <w:r w:rsidR="00F457DD">
        <w:rPr>
          <w:rFonts w:cstheme="minorHAnsi"/>
        </w:rPr>
        <w:t xml:space="preserve"> etc</w:t>
      </w:r>
      <w:r w:rsidR="00F457DD" w:rsidRPr="002B04EE">
        <w:rPr>
          <w:rFonts w:cstheme="minorHAnsi"/>
        </w:rPr>
        <w:t xml:space="preserve">.  </w:t>
      </w:r>
    </w:p>
    <w:p w:rsidR="00F457DD" w:rsidRPr="00FA5A69" w:rsidRDefault="0037461F" w:rsidP="00F457DD">
      <w:pPr>
        <w:ind w:left="720" w:hanging="720"/>
        <w:rPr>
          <w:rFonts w:cstheme="minorHAnsi"/>
          <w:bCs/>
        </w:rPr>
      </w:pPr>
      <w:r>
        <w:rPr>
          <w:rFonts w:cstheme="minorHAnsi"/>
        </w:rPr>
        <w:t>88</w:t>
      </w:r>
      <w:r w:rsidR="00F457DD">
        <w:rPr>
          <w:rFonts w:cstheme="minorHAnsi"/>
        </w:rPr>
        <w:tab/>
        <w:t>Many OECD countries have minimum standards e.g. the United Kingdom has a</w:t>
      </w:r>
      <w:r w:rsidR="00F457DD" w:rsidRPr="00FA5A69">
        <w:rPr>
          <w:rFonts w:cstheme="minorHAnsi"/>
        </w:rPr>
        <w:t xml:space="preserve"> </w:t>
      </w:r>
      <w:r w:rsidR="00F457DD" w:rsidRPr="00FA5A69">
        <w:rPr>
          <w:rFonts w:cstheme="minorHAnsi"/>
          <w:bCs/>
        </w:rPr>
        <w:t>minimum fitness standard for housing</w:t>
      </w:r>
      <w:r w:rsidR="00F457DD">
        <w:rPr>
          <w:rFonts w:cstheme="minorHAnsi"/>
          <w:bCs/>
        </w:rPr>
        <w:t xml:space="preserve"> which </w:t>
      </w:r>
      <w:r w:rsidR="00F457DD" w:rsidRPr="002B04EE">
        <w:rPr>
          <w:rFonts w:cstheme="minorHAnsi"/>
        </w:rPr>
        <w:t>states that for a dwelling to be fit for human habitation it must:</w:t>
      </w:r>
    </w:p>
    <w:p w:rsidR="00F457DD" w:rsidRPr="002B04EE" w:rsidRDefault="00F457DD" w:rsidP="00F457DD">
      <w:pPr>
        <w:numPr>
          <w:ilvl w:val="0"/>
          <w:numId w:val="24"/>
        </w:numPr>
        <w:spacing w:before="100" w:beforeAutospacing="1" w:after="100" w:afterAutospacing="1" w:line="240" w:lineRule="auto"/>
        <w:rPr>
          <w:rFonts w:eastAsia="Times New Roman" w:cstheme="minorHAnsi"/>
        </w:rPr>
      </w:pPr>
      <w:r>
        <w:rPr>
          <w:rFonts w:eastAsia="Times New Roman" w:cstheme="minorHAnsi"/>
        </w:rPr>
        <w:t>b</w:t>
      </w:r>
      <w:r w:rsidRPr="002B04EE">
        <w:rPr>
          <w:rFonts w:eastAsia="Times New Roman" w:cstheme="minorHAnsi"/>
        </w:rPr>
        <w:t xml:space="preserve">e structurally stable; </w:t>
      </w:r>
    </w:p>
    <w:p w:rsidR="00F457DD" w:rsidRPr="002B04EE" w:rsidRDefault="00F457DD" w:rsidP="00F457DD">
      <w:pPr>
        <w:numPr>
          <w:ilvl w:val="0"/>
          <w:numId w:val="24"/>
        </w:numPr>
        <w:spacing w:before="100" w:beforeAutospacing="1" w:after="100" w:afterAutospacing="1" w:line="240" w:lineRule="auto"/>
        <w:rPr>
          <w:rFonts w:eastAsia="Times New Roman" w:cstheme="minorHAnsi"/>
        </w:rPr>
      </w:pPr>
      <w:r>
        <w:rPr>
          <w:rFonts w:eastAsia="Times New Roman" w:cstheme="minorHAnsi"/>
        </w:rPr>
        <w:t>f</w:t>
      </w:r>
      <w:r w:rsidRPr="002B04EE">
        <w:rPr>
          <w:rFonts w:eastAsia="Times New Roman" w:cstheme="minorHAnsi"/>
        </w:rPr>
        <w:t xml:space="preserve">ree from serious disrepair; </w:t>
      </w:r>
    </w:p>
    <w:p w:rsidR="00F457DD" w:rsidRPr="002B04EE" w:rsidRDefault="00F457DD" w:rsidP="00F457DD">
      <w:pPr>
        <w:numPr>
          <w:ilvl w:val="0"/>
          <w:numId w:val="24"/>
        </w:numPr>
        <w:spacing w:before="100" w:beforeAutospacing="1" w:after="100" w:afterAutospacing="1" w:line="240" w:lineRule="auto"/>
        <w:rPr>
          <w:rFonts w:eastAsia="Times New Roman" w:cstheme="minorHAnsi"/>
        </w:rPr>
      </w:pPr>
      <w:r>
        <w:rPr>
          <w:rFonts w:eastAsia="Times New Roman" w:cstheme="minorHAnsi"/>
        </w:rPr>
        <w:t>f</w:t>
      </w:r>
      <w:r w:rsidRPr="002B04EE">
        <w:rPr>
          <w:rFonts w:eastAsia="Times New Roman" w:cstheme="minorHAnsi"/>
        </w:rPr>
        <w:t xml:space="preserve">ree from dampness prejudicial to the health of the occupants (if any); </w:t>
      </w:r>
    </w:p>
    <w:p w:rsidR="00F457DD" w:rsidRPr="002B04EE" w:rsidRDefault="00F457DD" w:rsidP="00F457DD">
      <w:pPr>
        <w:numPr>
          <w:ilvl w:val="0"/>
          <w:numId w:val="24"/>
        </w:numPr>
        <w:spacing w:before="100" w:beforeAutospacing="1" w:after="100" w:afterAutospacing="1" w:line="240" w:lineRule="auto"/>
        <w:rPr>
          <w:rFonts w:eastAsia="Times New Roman" w:cstheme="minorHAnsi"/>
        </w:rPr>
      </w:pPr>
      <w:r>
        <w:rPr>
          <w:rFonts w:eastAsia="Times New Roman" w:cstheme="minorHAnsi"/>
        </w:rPr>
        <w:t>h</w:t>
      </w:r>
      <w:r w:rsidRPr="002B04EE">
        <w:rPr>
          <w:rFonts w:eastAsia="Times New Roman" w:cstheme="minorHAnsi"/>
        </w:rPr>
        <w:t xml:space="preserve">ave adequate provision for lighting, heating and ventilation; </w:t>
      </w:r>
    </w:p>
    <w:p w:rsidR="00F457DD" w:rsidRPr="002B04EE" w:rsidRDefault="00F457DD" w:rsidP="00F457DD">
      <w:pPr>
        <w:numPr>
          <w:ilvl w:val="0"/>
          <w:numId w:val="24"/>
        </w:numPr>
        <w:spacing w:before="100" w:beforeAutospacing="1" w:after="100" w:afterAutospacing="1" w:line="240" w:lineRule="auto"/>
        <w:rPr>
          <w:rFonts w:eastAsia="Times New Roman" w:cstheme="minorHAnsi"/>
        </w:rPr>
      </w:pPr>
      <w:r>
        <w:rPr>
          <w:rFonts w:eastAsia="Times New Roman" w:cstheme="minorHAnsi"/>
        </w:rPr>
        <w:t>h</w:t>
      </w:r>
      <w:r w:rsidRPr="002B04EE">
        <w:rPr>
          <w:rFonts w:eastAsia="Times New Roman" w:cstheme="minorHAnsi"/>
        </w:rPr>
        <w:t xml:space="preserve">ave an adequate piped supply of wholesome water; </w:t>
      </w:r>
    </w:p>
    <w:p w:rsidR="00F457DD" w:rsidRPr="002B04EE" w:rsidRDefault="00F457DD" w:rsidP="00F457DD">
      <w:pPr>
        <w:numPr>
          <w:ilvl w:val="0"/>
          <w:numId w:val="24"/>
        </w:numPr>
        <w:spacing w:before="100" w:beforeAutospacing="1" w:after="100" w:afterAutospacing="1" w:line="240" w:lineRule="auto"/>
        <w:rPr>
          <w:rFonts w:eastAsia="Times New Roman" w:cstheme="minorHAnsi"/>
        </w:rPr>
      </w:pPr>
      <w:r>
        <w:rPr>
          <w:rFonts w:eastAsia="Times New Roman" w:cstheme="minorHAnsi"/>
        </w:rPr>
        <w:t>h</w:t>
      </w:r>
      <w:r w:rsidRPr="002B04EE">
        <w:rPr>
          <w:rFonts w:eastAsia="Times New Roman" w:cstheme="minorHAnsi"/>
        </w:rPr>
        <w:t xml:space="preserve">ave satisfactory facilities in the house for the preparation and cooking of food, including a sink with a satisfactory supply of hot and cold water; </w:t>
      </w:r>
    </w:p>
    <w:p w:rsidR="00F457DD" w:rsidRPr="002B04EE" w:rsidRDefault="00F457DD" w:rsidP="00F457DD">
      <w:pPr>
        <w:numPr>
          <w:ilvl w:val="0"/>
          <w:numId w:val="24"/>
        </w:numPr>
        <w:spacing w:before="100" w:beforeAutospacing="1" w:after="100" w:afterAutospacing="1" w:line="240" w:lineRule="auto"/>
        <w:rPr>
          <w:rFonts w:eastAsia="Times New Roman" w:cstheme="minorHAnsi"/>
        </w:rPr>
      </w:pPr>
      <w:r>
        <w:rPr>
          <w:rFonts w:eastAsia="Times New Roman" w:cstheme="minorHAnsi"/>
        </w:rPr>
        <w:t>h</w:t>
      </w:r>
      <w:r w:rsidRPr="002B04EE">
        <w:rPr>
          <w:rFonts w:eastAsia="Times New Roman" w:cstheme="minorHAnsi"/>
        </w:rPr>
        <w:t xml:space="preserve">ave a suitably located water-closet for the exclusive use of the occupants (if any); </w:t>
      </w:r>
    </w:p>
    <w:p w:rsidR="00F457DD" w:rsidRPr="002B04EE" w:rsidRDefault="00F457DD" w:rsidP="00F457DD">
      <w:pPr>
        <w:numPr>
          <w:ilvl w:val="0"/>
          <w:numId w:val="24"/>
        </w:numPr>
        <w:spacing w:before="100" w:beforeAutospacing="1" w:after="100" w:afterAutospacing="1" w:line="240" w:lineRule="auto"/>
        <w:rPr>
          <w:rFonts w:eastAsia="Times New Roman" w:cstheme="minorHAnsi"/>
        </w:rPr>
      </w:pPr>
      <w:r>
        <w:rPr>
          <w:rFonts w:eastAsia="Times New Roman" w:cstheme="minorHAnsi"/>
        </w:rPr>
        <w:t>h</w:t>
      </w:r>
      <w:r w:rsidRPr="002B04EE">
        <w:rPr>
          <w:rFonts w:eastAsia="Times New Roman" w:cstheme="minorHAnsi"/>
        </w:rPr>
        <w:t xml:space="preserve">ave a suitably located fixed bath or shower and wash-hand basin each of which is provided with a satisfactory supply of hot and cold water, for the exclusive use of the occupants (if any); and </w:t>
      </w:r>
    </w:p>
    <w:p w:rsidR="00F457DD" w:rsidRPr="002B04EE" w:rsidRDefault="00F457DD" w:rsidP="00F457DD">
      <w:pPr>
        <w:numPr>
          <w:ilvl w:val="0"/>
          <w:numId w:val="24"/>
        </w:numPr>
        <w:spacing w:before="100" w:beforeAutospacing="1" w:after="100" w:afterAutospacing="1" w:line="240" w:lineRule="auto"/>
        <w:rPr>
          <w:rFonts w:eastAsia="Times New Roman" w:cstheme="minorHAnsi"/>
        </w:rPr>
      </w:pPr>
      <w:r>
        <w:rPr>
          <w:rFonts w:eastAsia="Times New Roman" w:cstheme="minorHAnsi"/>
        </w:rPr>
        <w:t>h</w:t>
      </w:r>
      <w:r w:rsidRPr="002B04EE">
        <w:rPr>
          <w:rFonts w:eastAsia="Times New Roman" w:cstheme="minorHAnsi"/>
        </w:rPr>
        <w:t>ave an effective system for the draining of foul, waste and surface water.</w:t>
      </w:r>
    </w:p>
    <w:p w:rsidR="00F457DD" w:rsidRDefault="0037461F" w:rsidP="00F457DD">
      <w:pPr>
        <w:ind w:left="720" w:hanging="720"/>
        <w:rPr>
          <w:rFonts w:cstheme="minorHAnsi"/>
        </w:rPr>
      </w:pPr>
      <w:r>
        <w:rPr>
          <w:rFonts w:cstheme="minorHAnsi"/>
        </w:rPr>
        <w:t>89</w:t>
      </w:r>
      <w:r w:rsidR="008F21C6">
        <w:rPr>
          <w:rFonts w:cstheme="minorHAnsi"/>
        </w:rPr>
        <w:tab/>
        <w:t>While a dynamic</w:t>
      </w:r>
      <w:r w:rsidR="00F457DD">
        <w:rPr>
          <w:rFonts w:cstheme="minorHAnsi"/>
        </w:rPr>
        <w:t xml:space="preserve"> warrant of fitness approach based on similar standards may reduce information problems for some renters, it does little more for landlord’s information problems about the quality and behaviours of tenants post contracting.  Further a </w:t>
      </w:r>
      <w:r w:rsidR="00F457DD" w:rsidRPr="002B04EE">
        <w:rPr>
          <w:rFonts w:cstheme="minorHAnsi"/>
        </w:rPr>
        <w:t>warrant</w:t>
      </w:r>
      <w:r w:rsidR="00F457DD">
        <w:rPr>
          <w:rFonts w:cstheme="minorHAnsi"/>
        </w:rPr>
        <w:t xml:space="preserve"> of fitness </w:t>
      </w:r>
      <w:r w:rsidR="00F457DD" w:rsidRPr="002B04EE">
        <w:rPr>
          <w:rFonts w:cstheme="minorHAnsi"/>
        </w:rPr>
        <w:t>is almost certain to d</w:t>
      </w:r>
      <w:r w:rsidR="00F457DD">
        <w:rPr>
          <w:rFonts w:cstheme="minorHAnsi"/>
        </w:rPr>
        <w:t xml:space="preserve">rive up renting costs and reduce supply in the short-term as some properties will not pass the test.  However the other driver is will such an approach </w:t>
      </w:r>
      <w:r w:rsidR="00F457DD">
        <w:rPr>
          <w:rFonts w:cstheme="minorHAnsi"/>
        </w:rPr>
        <w:lastRenderedPageBreak/>
        <w:t xml:space="preserve">improve the quality of the rental stock at reasonable cost? This requires a full cost/benefit analysis by appropriate </w:t>
      </w:r>
      <w:r w:rsidR="00931F6D">
        <w:rPr>
          <w:rFonts w:cstheme="minorHAnsi"/>
        </w:rPr>
        <w:t>Government agencies which also assess</w:t>
      </w:r>
      <w:r w:rsidR="00F457DD">
        <w:rPr>
          <w:rFonts w:cstheme="minorHAnsi"/>
        </w:rPr>
        <w:t xml:space="preserve"> the impact of the sequencing of any proposed changes. </w:t>
      </w:r>
      <w:r w:rsidR="00F74D8D">
        <w:rPr>
          <w:rFonts w:cstheme="minorHAnsi"/>
        </w:rPr>
        <w:t xml:space="preserve">There are serious trade-offs to consider in raising quality and supply at the same time. </w:t>
      </w:r>
    </w:p>
    <w:p w:rsidR="00F457DD" w:rsidRPr="002B04EE" w:rsidRDefault="0037461F" w:rsidP="00F457DD">
      <w:pPr>
        <w:ind w:left="720" w:hanging="720"/>
        <w:rPr>
          <w:rFonts w:cstheme="minorHAnsi"/>
        </w:rPr>
      </w:pPr>
      <w:r>
        <w:rPr>
          <w:rFonts w:cstheme="minorHAnsi"/>
        </w:rPr>
        <w:t>90</w:t>
      </w:r>
      <w:r w:rsidR="00F457DD">
        <w:rPr>
          <w:rFonts w:cstheme="minorHAnsi"/>
        </w:rPr>
        <w:tab/>
      </w:r>
      <w:r w:rsidR="00F457DD" w:rsidRPr="00EF113D">
        <w:rPr>
          <w:rFonts w:cstheme="minorHAnsi"/>
        </w:rPr>
        <w:t xml:space="preserve">Note the likely </w:t>
      </w:r>
      <w:r w:rsidR="008F21C6">
        <w:rPr>
          <w:rFonts w:cstheme="minorHAnsi"/>
        </w:rPr>
        <w:t xml:space="preserve">on-going </w:t>
      </w:r>
      <w:r w:rsidR="00F457DD" w:rsidRPr="00EF113D">
        <w:rPr>
          <w:rFonts w:cstheme="minorHAnsi"/>
        </w:rPr>
        <w:t>costs are significant, there are approximately 67,700 HCNZ households</w:t>
      </w:r>
      <w:r w:rsidR="00F457DD" w:rsidRPr="00EF113D">
        <w:rPr>
          <w:rFonts w:cstheme="minorHAnsi"/>
          <w:b/>
          <w:bCs/>
        </w:rPr>
        <w:t xml:space="preserve"> </w:t>
      </w:r>
      <w:r w:rsidR="00F457DD" w:rsidRPr="00EF113D">
        <w:rPr>
          <w:rFonts w:cstheme="minorHAnsi"/>
          <w:bCs/>
        </w:rPr>
        <w:t>and 467,300</w:t>
      </w:r>
      <w:r w:rsidR="00F457DD" w:rsidRPr="00EF113D">
        <w:rPr>
          <w:rFonts w:cstheme="minorHAnsi"/>
        </w:rPr>
        <w:t xml:space="preserve"> private rental households</w:t>
      </w:r>
      <w:r w:rsidR="00D21786">
        <w:rPr>
          <w:rFonts w:cstheme="minorHAnsi"/>
        </w:rPr>
        <w:t xml:space="preserve"> </w:t>
      </w:r>
      <w:r w:rsidR="00D21786" w:rsidRPr="00D21786">
        <w:rPr>
          <w:rFonts w:cstheme="minorHAnsi"/>
        </w:rPr>
        <w:t>(“</w:t>
      </w:r>
      <w:r w:rsidR="00D21786" w:rsidRPr="00D21786">
        <w:rPr>
          <w:rStyle w:val="googqs-tidbit1"/>
          <w:rFonts w:cstheme="minorHAnsi"/>
          <w:i/>
          <w:specVanish w:val="0"/>
        </w:rPr>
        <w:t>Home and Housed: A Vision for Social Housing in New Zealand</w:t>
      </w:r>
      <w:r w:rsidR="00D21786" w:rsidRPr="00D21786">
        <w:rPr>
          <w:rStyle w:val="googqs-tidbit1"/>
          <w:rFonts w:cstheme="minorHAnsi"/>
          <w:specVanish w:val="0"/>
        </w:rPr>
        <w:t>”</w:t>
      </w:r>
      <w:r w:rsidR="00D21786">
        <w:rPr>
          <w:rStyle w:val="googqs-tidbit1"/>
          <w:rFonts w:cstheme="minorHAnsi"/>
          <w:specVanish w:val="0"/>
        </w:rPr>
        <w:t xml:space="preserve">, </w:t>
      </w:r>
      <w:r w:rsidR="00D21786" w:rsidRPr="00D21786">
        <w:rPr>
          <w:rFonts w:cstheme="minorHAnsi"/>
        </w:rPr>
        <w:t>Housing</w:t>
      </w:r>
      <w:r w:rsidR="00F457DD" w:rsidRPr="00D21786">
        <w:rPr>
          <w:rFonts w:cstheme="minorHAnsi"/>
        </w:rPr>
        <w:t xml:space="preserve"> Shareholders Advisory Group, </w:t>
      </w:r>
      <w:r w:rsidR="00D21786" w:rsidRPr="00D21786">
        <w:rPr>
          <w:rFonts w:cstheme="minorHAnsi"/>
        </w:rPr>
        <w:t>2010)</w:t>
      </w:r>
      <w:r w:rsidR="00F457DD" w:rsidRPr="00D21786">
        <w:rPr>
          <w:rFonts w:cstheme="minorHAnsi"/>
        </w:rPr>
        <w:t xml:space="preserve"> </w:t>
      </w:r>
      <w:r w:rsidR="00F457DD">
        <w:rPr>
          <w:rFonts w:cstheme="minorHAnsi"/>
        </w:rPr>
        <w:t>which would require a warrant of fitness test to be undertaken</w:t>
      </w:r>
      <w:r w:rsidR="00C201F2">
        <w:rPr>
          <w:rFonts w:cstheme="minorHAnsi"/>
        </w:rPr>
        <w:t xml:space="preserve"> on an on-going basis</w:t>
      </w:r>
      <w:r w:rsidR="00F457DD">
        <w:rPr>
          <w:rFonts w:cstheme="minorHAnsi"/>
        </w:rPr>
        <w:t xml:space="preserve">.  </w:t>
      </w:r>
    </w:p>
    <w:p w:rsidR="00F457DD" w:rsidRPr="002B04EE" w:rsidRDefault="0037461F" w:rsidP="00F457DD">
      <w:pPr>
        <w:ind w:left="720" w:hanging="720"/>
        <w:rPr>
          <w:rFonts w:cstheme="minorHAnsi"/>
        </w:rPr>
      </w:pPr>
      <w:r>
        <w:rPr>
          <w:rFonts w:cstheme="minorHAnsi"/>
        </w:rPr>
        <w:t>91</w:t>
      </w:r>
      <w:r w:rsidR="00F457DD">
        <w:rPr>
          <w:rFonts w:cstheme="minorHAnsi"/>
        </w:rPr>
        <w:tab/>
        <w:t xml:space="preserve">We strongly believe there is also considerable value in </w:t>
      </w:r>
      <w:r w:rsidR="00F457DD" w:rsidRPr="002B04EE">
        <w:rPr>
          <w:rFonts w:cstheme="minorHAnsi"/>
        </w:rPr>
        <w:t>fa</w:t>
      </w:r>
      <w:r w:rsidR="00F457DD">
        <w:rPr>
          <w:rFonts w:cstheme="minorHAnsi"/>
        </w:rPr>
        <w:t xml:space="preserve">ith-based and </w:t>
      </w:r>
      <w:r w:rsidR="00F457DD" w:rsidRPr="002B04EE">
        <w:rPr>
          <w:rFonts w:cstheme="minorHAnsi"/>
        </w:rPr>
        <w:t>other suppliers of rental accommodation for those o</w:t>
      </w:r>
      <w:r w:rsidR="00F457DD">
        <w:rPr>
          <w:rFonts w:cstheme="minorHAnsi"/>
        </w:rPr>
        <w:t>n very low incomes to merge, create</w:t>
      </w:r>
      <w:r w:rsidR="00F457DD" w:rsidRPr="002B04EE">
        <w:rPr>
          <w:rFonts w:cstheme="minorHAnsi"/>
        </w:rPr>
        <w:t xml:space="preserve"> </w:t>
      </w:r>
      <w:r w:rsidR="00F457DD">
        <w:rPr>
          <w:rFonts w:cstheme="minorHAnsi"/>
        </w:rPr>
        <w:t xml:space="preserve">greater </w:t>
      </w:r>
      <w:r w:rsidR="00F457DD" w:rsidRPr="002B04EE">
        <w:rPr>
          <w:rFonts w:cstheme="minorHAnsi"/>
        </w:rPr>
        <w:t xml:space="preserve">economies of scale with </w:t>
      </w:r>
      <w:r w:rsidR="00F457DD">
        <w:rPr>
          <w:rFonts w:cstheme="minorHAnsi"/>
        </w:rPr>
        <w:t xml:space="preserve">a </w:t>
      </w:r>
      <w:r w:rsidR="00F457DD" w:rsidRPr="002B04EE">
        <w:rPr>
          <w:rFonts w:cstheme="minorHAnsi"/>
        </w:rPr>
        <w:t>strong brand presence to drive high</w:t>
      </w:r>
      <w:r w:rsidR="00F457DD">
        <w:rPr>
          <w:rFonts w:cstheme="minorHAnsi"/>
        </w:rPr>
        <w:t>er</w:t>
      </w:r>
      <w:r w:rsidR="00F457DD" w:rsidRPr="002B04EE">
        <w:rPr>
          <w:rFonts w:cstheme="minorHAnsi"/>
        </w:rPr>
        <w:t xml:space="preserve"> voluntarily standards and disclosure to differentiate themselves from low</w:t>
      </w:r>
      <w:r w:rsidR="00F457DD">
        <w:rPr>
          <w:rFonts w:cstheme="minorHAnsi"/>
        </w:rPr>
        <w:t xml:space="preserve">er </w:t>
      </w:r>
      <w:r w:rsidR="00F457DD" w:rsidRPr="002B04EE">
        <w:rPr>
          <w:rFonts w:cstheme="minorHAnsi"/>
        </w:rPr>
        <w:t xml:space="preserve">quality suppliers. </w:t>
      </w:r>
      <w:r w:rsidR="00F457DD">
        <w:rPr>
          <w:rFonts w:cstheme="minorHAnsi"/>
        </w:rPr>
        <w:t xml:space="preserve"> Government could assist in taking both a leadership and lowering the sunk costs of this type of approach. </w:t>
      </w:r>
    </w:p>
    <w:p w:rsidR="00F457DD" w:rsidRDefault="0037461F" w:rsidP="00F457DD">
      <w:pPr>
        <w:ind w:left="720" w:hanging="720"/>
      </w:pPr>
      <w:r>
        <w:rPr>
          <w:rFonts w:cstheme="minorHAnsi"/>
        </w:rPr>
        <w:t>92</w:t>
      </w:r>
      <w:r w:rsidR="00F457DD">
        <w:rPr>
          <w:rFonts w:cstheme="minorHAnsi"/>
        </w:rPr>
        <w:tab/>
        <w:t xml:space="preserve">Further we </w:t>
      </w:r>
      <w:r w:rsidR="000E6A4A">
        <w:rPr>
          <w:rFonts w:cstheme="minorHAnsi"/>
        </w:rPr>
        <w:t>also strongly</w:t>
      </w:r>
      <w:r w:rsidR="00163B33">
        <w:rPr>
          <w:rFonts w:cstheme="minorHAnsi"/>
        </w:rPr>
        <w:t xml:space="preserve"> support</w:t>
      </w:r>
      <w:r w:rsidR="00F457DD">
        <w:rPr>
          <w:rFonts w:cstheme="minorHAnsi"/>
        </w:rPr>
        <w:t xml:space="preserve"> a voluntary approach </w:t>
      </w:r>
      <w:r w:rsidR="00F457DD" w:rsidRPr="008B615F">
        <w:t>along the lines of</w:t>
      </w:r>
      <w:r w:rsidR="00163B33">
        <w:t xml:space="preserve"> the Governments </w:t>
      </w:r>
      <w:r w:rsidR="00163B33" w:rsidRPr="008B615F">
        <w:t>current</w:t>
      </w:r>
      <w:r w:rsidR="00163B33">
        <w:t xml:space="preserve"> </w:t>
      </w:r>
      <w:r w:rsidR="00F457DD" w:rsidRPr="008B615F">
        <w:t xml:space="preserve">insulation </w:t>
      </w:r>
      <w:r w:rsidR="00163B33" w:rsidRPr="008B615F">
        <w:t>scheme e.g</w:t>
      </w:r>
      <w:r w:rsidR="00F457DD" w:rsidRPr="008B615F">
        <w:t xml:space="preserve">. low-interest loans to a specified group of landlords to bring their houses up to a specified </w:t>
      </w:r>
      <w:r w:rsidR="00163B33" w:rsidRPr="008B615F">
        <w:t>standard,</w:t>
      </w:r>
      <w:r w:rsidR="00F457DD">
        <w:t xml:space="preserve"> </w:t>
      </w:r>
      <w:r w:rsidR="00F457DD" w:rsidRPr="008B615F">
        <w:t>target</w:t>
      </w:r>
      <w:r w:rsidR="00F457DD">
        <w:t>ing</w:t>
      </w:r>
      <w:r w:rsidR="00F457DD" w:rsidRPr="008B615F">
        <w:t xml:space="preserve"> particular </w:t>
      </w:r>
      <w:r w:rsidR="00163B33">
        <w:t xml:space="preserve">disadvantaged </w:t>
      </w:r>
      <w:r w:rsidR="00F457DD" w:rsidRPr="008B615F">
        <w:t>neighbourhoods.  It could cover repairs or work to address specific issues e.g. ventilation, insulation, heating, stopping drafts etc</w:t>
      </w:r>
      <w:r w:rsidR="00F457DD">
        <w:t>.  </w:t>
      </w:r>
      <w:r w:rsidR="00F457DD" w:rsidRPr="008B615F">
        <w:t xml:space="preserve">This would have a lower-cost than a mandatory regime, but be less likely to </w:t>
      </w:r>
      <w:r w:rsidR="00E9709B">
        <w:t xml:space="preserve">reduce </w:t>
      </w:r>
      <w:r w:rsidR="00F457DD" w:rsidRPr="008B615F">
        <w:t>supply.</w:t>
      </w:r>
    </w:p>
    <w:p w:rsidR="00F457DD" w:rsidRDefault="0037461F" w:rsidP="00A104C9">
      <w:pPr>
        <w:pStyle w:val="NoSpacing"/>
        <w:ind w:left="720" w:hanging="720"/>
        <w:rPr>
          <w:rFonts w:ascii="Times New Roman" w:hAnsi="Times New Roman"/>
          <w:color w:val="3B3B3B"/>
          <w:sz w:val="18"/>
          <w:szCs w:val="18"/>
          <w:lang w:val="en-US" w:eastAsia="en-NZ"/>
        </w:rPr>
      </w:pPr>
      <w:r>
        <w:t>93</w:t>
      </w:r>
      <w:r w:rsidR="00A104C9">
        <w:tab/>
      </w:r>
      <w:r w:rsidR="00A104C9" w:rsidRPr="00A104C9">
        <w:t>The net benefit of the current Heat Smart programme is highly favourable. Under the preferred scenario, (additionally assumption of 85%, 4% discount rate) it was estimated  the programme had a net benefit of $951 million dollars, and a highly favourable benefit cost ratio of 3.9:1, see “</w:t>
      </w:r>
      <w:r w:rsidR="00A104C9" w:rsidRPr="0035418D">
        <w:rPr>
          <w:i/>
        </w:rPr>
        <w:t>Evaluation of Warm Up New Zealand: Heat Smart</w:t>
      </w:r>
      <w:r w:rsidR="00A104C9" w:rsidRPr="00A104C9">
        <w:t>”, He Kainga Oranga, Victoria University, Motu Economic, Public Policy Research and Covec, 2011.</w:t>
      </w:r>
    </w:p>
    <w:p w:rsidR="00217A67" w:rsidRDefault="00217A67" w:rsidP="00F32E89">
      <w:pPr>
        <w:rPr>
          <w:rFonts w:ascii="Times New Roman" w:eastAsia="Times New Roman" w:hAnsi="Times New Roman" w:cs="Times New Roman"/>
          <w:color w:val="3B3B3B"/>
          <w:sz w:val="18"/>
          <w:szCs w:val="18"/>
          <w:lang w:val="en-US" w:eastAsia="en-NZ"/>
        </w:rPr>
      </w:pPr>
    </w:p>
    <w:p w:rsidR="00F32E89" w:rsidRPr="00217A67" w:rsidRDefault="00217A67" w:rsidP="00F32E89">
      <w:pPr>
        <w:rPr>
          <w:rFonts w:ascii="Times New Roman" w:eastAsia="Times New Roman" w:hAnsi="Times New Roman" w:cs="Times New Roman"/>
          <w:color w:val="3B3B3B"/>
          <w:sz w:val="18"/>
          <w:szCs w:val="18"/>
          <w:lang w:val="en-US" w:eastAsia="en-NZ"/>
        </w:rPr>
      </w:pPr>
      <w:r>
        <w:rPr>
          <w:rFonts w:ascii="Times New Roman" w:eastAsia="Times New Roman" w:hAnsi="Times New Roman" w:cs="Times New Roman"/>
          <w:color w:val="3B3B3B"/>
          <w:sz w:val="18"/>
          <w:szCs w:val="18"/>
          <w:lang w:val="en-US" w:eastAsia="en-NZ"/>
        </w:rPr>
        <w:br w:type="page"/>
      </w:r>
      <w:r w:rsidR="00F32E89">
        <w:rPr>
          <w:rFonts w:cstheme="minorHAnsi"/>
        </w:rPr>
        <w:lastRenderedPageBreak/>
        <w:t>R</w:t>
      </w:r>
      <w:r w:rsidR="00F32E89" w:rsidRPr="002450E5">
        <w:rPr>
          <w:rFonts w:cstheme="minorHAnsi"/>
        </w:rPr>
        <w:t>ecommendations</w:t>
      </w:r>
    </w:p>
    <w:p w:rsidR="00A95B17" w:rsidRDefault="0037461F">
      <w:pPr>
        <w:rPr>
          <w:rFonts w:cstheme="minorHAnsi"/>
        </w:rPr>
      </w:pPr>
      <w:r>
        <w:rPr>
          <w:rFonts w:cstheme="minorHAnsi"/>
        </w:rPr>
        <w:t>94</w:t>
      </w:r>
      <w:r w:rsidR="00BC0682">
        <w:rPr>
          <w:rFonts w:cstheme="minorHAnsi"/>
        </w:rPr>
        <w:tab/>
        <w:t>It is recommended that you:</w:t>
      </w:r>
    </w:p>
    <w:p w:rsidR="00BC0682" w:rsidRDefault="00BC0682" w:rsidP="003866C7">
      <w:pPr>
        <w:pStyle w:val="ListParagraph"/>
        <w:numPr>
          <w:ilvl w:val="0"/>
          <w:numId w:val="15"/>
        </w:numPr>
        <w:rPr>
          <w:rFonts w:cstheme="minorHAnsi"/>
        </w:rPr>
      </w:pPr>
      <w:r w:rsidRPr="00D73799">
        <w:rPr>
          <w:rFonts w:cstheme="minorHAnsi"/>
          <w:b/>
        </w:rPr>
        <w:t>note</w:t>
      </w:r>
      <w:r>
        <w:rPr>
          <w:rFonts w:cstheme="minorHAnsi"/>
        </w:rPr>
        <w:t xml:space="preserve"> </w:t>
      </w:r>
      <w:r w:rsidR="00D73799">
        <w:rPr>
          <w:rFonts w:cstheme="minorHAnsi"/>
        </w:rPr>
        <w:t>that as employment growth thus productivity are central to reducing child poverty the AEG consult with the New Zealand Productivity Commission (NZPC) on how higher productivity is best sustained over time;</w:t>
      </w:r>
    </w:p>
    <w:p w:rsidR="00BC0682" w:rsidRDefault="00BC0682" w:rsidP="00BC0682">
      <w:pPr>
        <w:pStyle w:val="ListParagraph"/>
        <w:ind w:left="1080"/>
        <w:rPr>
          <w:rFonts w:cstheme="minorHAnsi"/>
        </w:rPr>
      </w:pPr>
    </w:p>
    <w:p w:rsidR="00BC0682" w:rsidRDefault="00BC0682" w:rsidP="003866C7">
      <w:pPr>
        <w:pStyle w:val="ListParagraph"/>
        <w:numPr>
          <w:ilvl w:val="0"/>
          <w:numId w:val="15"/>
        </w:numPr>
        <w:rPr>
          <w:rFonts w:cstheme="minorHAnsi"/>
        </w:rPr>
      </w:pPr>
      <w:r w:rsidRPr="00D73799">
        <w:rPr>
          <w:rFonts w:cstheme="minorHAnsi"/>
          <w:b/>
        </w:rPr>
        <w:t>note</w:t>
      </w:r>
      <w:r>
        <w:rPr>
          <w:rFonts w:cstheme="minorHAnsi"/>
        </w:rPr>
        <w:t xml:space="preserve"> </w:t>
      </w:r>
      <w:r w:rsidR="00D73799">
        <w:rPr>
          <w:rFonts w:cstheme="minorHAnsi"/>
        </w:rPr>
        <w:t xml:space="preserve">that the lack of </w:t>
      </w:r>
      <w:r w:rsidR="007E137C">
        <w:rPr>
          <w:rFonts w:cstheme="minorHAnsi"/>
        </w:rPr>
        <w:t xml:space="preserve">detailed </w:t>
      </w:r>
      <w:r w:rsidR="00D73799">
        <w:rPr>
          <w:rFonts w:cstheme="minorHAnsi"/>
        </w:rPr>
        <w:t xml:space="preserve">costings in the AEG report mean it is </w:t>
      </w:r>
      <w:r w:rsidR="007E137C">
        <w:rPr>
          <w:rFonts w:cstheme="minorHAnsi"/>
        </w:rPr>
        <w:t xml:space="preserve">difficult </w:t>
      </w:r>
      <w:r w:rsidR="00D73799">
        <w:rPr>
          <w:rFonts w:cstheme="minorHAnsi"/>
        </w:rPr>
        <w:t>to provide robust feedback on the specific recommendation</w:t>
      </w:r>
      <w:r w:rsidR="006B2DF0">
        <w:rPr>
          <w:rFonts w:cstheme="minorHAnsi"/>
        </w:rPr>
        <w:t>s</w:t>
      </w:r>
      <w:r w:rsidR="00D73799">
        <w:rPr>
          <w:rFonts w:cstheme="minorHAnsi"/>
        </w:rPr>
        <w:t xml:space="preserve"> as there is no</w:t>
      </w:r>
      <w:r w:rsidR="007E137C">
        <w:rPr>
          <w:rFonts w:cstheme="minorHAnsi"/>
        </w:rPr>
        <w:t xml:space="preserve"> or little</w:t>
      </w:r>
      <w:r w:rsidR="00D73799">
        <w:rPr>
          <w:rFonts w:cstheme="minorHAnsi"/>
        </w:rPr>
        <w:t xml:space="preserve"> material on affordability</w:t>
      </w:r>
      <w:r w:rsidR="00941897">
        <w:rPr>
          <w:rFonts w:cstheme="minorHAnsi"/>
        </w:rPr>
        <w:t xml:space="preserve"> and the policy and </w:t>
      </w:r>
      <w:r w:rsidR="00E457D3">
        <w:rPr>
          <w:rFonts w:cstheme="minorHAnsi"/>
        </w:rPr>
        <w:t xml:space="preserve">fiscal </w:t>
      </w:r>
      <w:r w:rsidR="00D73799">
        <w:rPr>
          <w:rFonts w:cstheme="minorHAnsi"/>
        </w:rPr>
        <w:t>trade-offs involved;</w:t>
      </w:r>
    </w:p>
    <w:p w:rsidR="00233B7A" w:rsidRPr="00233B7A" w:rsidRDefault="00233B7A" w:rsidP="00233B7A">
      <w:pPr>
        <w:pStyle w:val="ListParagraph"/>
        <w:rPr>
          <w:rFonts w:cstheme="minorHAnsi"/>
        </w:rPr>
      </w:pPr>
    </w:p>
    <w:p w:rsidR="00233B7A" w:rsidRDefault="00233B7A" w:rsidP="003866C7">
      <w:pPr>
        <w:pStyle w:val="ListParagraph"/>
        <w:numPr>
          <w:ilvl w:val="0"/>
          <w:numId w:val="15"/>
        </w:numPr>
        <w:rPr>
          <w:rFonts w:cstheme="minorHAnsi"/>
        </w:rPr>
      </w:pPr>
      <w:r w:rsidRPr="00233B7A">
        <w:rPr>
          <w:rFonts w:cstheme="minorHAnsi"/>
          <w:b/>
        </w:rPr>
        <w:t>note</w:t>
      </w:r>
      <w:r>
        <w:rPr>
          <w:rFonts w:cstheme="minorHAnsi"/>
        </w:rPr>
        <w:t xml:space="preserve"> that in general and subject to affordability we support </w:t>
      </w:r>
      <w:r>
        <w:rPr>
          <w:lang w:val="en-US"/>
        </w:rPr>
        <w:t xml:space="preserve">effective marginal tax rate reductions for those on low incomes as they </w:t>
      </w:r>
      <w:r w:rsidR="00171D07">
        <w:rPr>
          <w:lang w:val="en-US"/>
        </w:rPr>
        <w:t>improve</w:t>
      </w:r>
      <w:r>
        <w:rPr>
          <w:lang w:val="en-US"/>
        </w:rPr>
        <w:t xml:space="preserve"> the incentives to search for work and introduce positive real income increases; </w:t>
      </w:r>
    </w:p>
    <w:p w:rsidR="00D73799" w:rsidRPr="00D73799" w:rsidRDefault="00D73799" w:rsidP="00D73799">
      <w:pPr>
        <w:pStyle w:val="ListParagraph"/>
        <w:rPr>
          <w:rFonts w:cstheme="minorHAnsi"/>
        </w:rPr>
      </w:pPr>
    </w:p>
    <w:p w:rsidR="00BC0682" w:rsidRPr="00D73799" w:rsidRDefault="00D73799" w:rsidP="003866C7">
      <w:pPr>
        <w:pStyle w:val="ListParagraph"/>
        <w:numPr>
          <w:ilvl w:val="0"/>
          <w:numId w:val="15"/>
        </w:numPr>
        <w:rPr>
          <w:rFonts w:cstheme="minorHAnsi"/>
        </w:rPr>
      </w:pPr>
      <w:r w:rsidRPr="00D73799">
        <w:rPr>
          <w:rFonts w:cstheme="minorHAnsi"/>
          <w:b/>
        </w:rPr>
        <w:t>note</w:t>
      </w:r>
      <w:r>
        <w:rPr>
          <w:rFonts w:cstheme="minorHAnsi"/>
        </w:rPr>
        <w:t xml:space="preserve"> that a </w:t>
      </w:r>
      <w:r w:rsidR="00BC0682" w:rsidRPr="00D73799">
        <w:rPr>
          <w:rFonts w:cstheme="minorHAnsi"/>
        </w:rPr>
        <w:t>focus on relative poverty has strengths and weakness</w:t>
      </w:r>
      <w:r w:rsidR="006B2DF0">
        <w:rPr>
          <w:rFonts w:cstheme="minorHAnsi"/>
        </w:rPr>
        <w:t>es</w:t>
      </w:r>
      <w:r w:rsidR="00BC0682" w:rsidRPr="00D73799">
        <w:rPr>
          <w:rFonts w:cstheme="minorHAnsi"/>
        </w:rPr>
        <w:t xml:space="preserve">, </w:t>
      </w:r>
      <w:r>
        <w:rPr>
          <w:rFonts w:cstheme="minorHAnsi"/>
        </w:rPr>
        <w:t xml:space="preserve">but the available (and limited) research on </w:t>
      </w:r>
      <w:r w:rsidR="00BC0682" w:rsidRPr="00D73799">
        <w:rPr>
          <w:rFonts w:cstheme="minorHAnsi"/>
        </w:rPr>
        <w:t xml:space="preserve">dynamic  </w:t>
      </w:r>
      <w:r>
        <w:rPr>
          <w:rFonts w:cstheme="minorHAnsi"/>
        </w:rPr>
        <w:t xml:space="preserve">income mobility </w:t>
      </w:r>
      <w:r w:rsidR="00BC0682" w:rsidRPr="00D73799">
        <w:rPr>
          <w:rFonts w:cstheme="minorHAnsi"/>
        </w:rPr>
        <w:t xml:space="preserve">leads </w:t>
      </w:r>
      <w:r>
        <w:rPr>
          <w:rFonts w:cstheme="minorHAnsi"/>
        </w:rPr>
        <w:t xml:space="preserve">us to </w:t>
      </w:r>
      <w:r w:rsidR="00BC0682" w:rsidRPr="00D73799">
        <w:rPr>
          <w:rFonts w:cstheme="minorHAnsi"/>
        </w:rPr>
        <w:t>focus</w:t>
      </w:r>
      <w:r>
        <w:rPr>
          <w:rFonts w:cstheme="minorHAnsi"/>
        </w:rPr>
        <w:t xml:space="preserve"> on </w:t>
      </w:r>
      <w:r>
        <w:rPr>
          <w:bCs/>
        </w:rPr>
        <w:t xml:space="preserve">policy that emphasis’s </w:t>
      </w:r>
      <w:r w:rsidR="00BC0682" w:rsidRPr="00D73799">
        <w:rPr>
          <w:bCs/>
        </w:rPr>
        <w:t>mobility via employment in the first instance and specifically target depriv</w:t>
      </w:r>
      <w:r>
        <w:rPr>
          <w:bCs/>
        </w:rPr>
        <w:t>ation and persistent low income;</w:t>
      </w:r>
    </w:p>
    <w:p w:rsidR="00D73799" w:rsidRPr="00D73799" w:rsidRDefault="00D73799" w:rsidP="00D73799">
      <w:pPr>
        <w:pStyle w:val="ListParagraph"/>
        <w:rPr>
          <w:rFonts w:cstheme="minorHAnsi"/>
        </w:rPr>
      </w:pPr>
    </w:p>
    <w:p w:rsidR="00217A67" w:rsidRPr="00217A67" w:rsidRDefault="00D73799" w:rsidP="00217A67">
      <w:pPr>
        <w:pStyle w:val="ListParagraph"/>
        <w:numPr>
          <w:ilvl w:val="0"/>
          <w:numId w:val="15"/>
        </w:numPr>
        <w:rPr>
          <w:rFonts w:cstheme="minorHAnsi"/>
        </w:rPr>
      </w:pPr>
      <w:r w:rsidRPr="00D73799">
        <w:rPr>
          <w:rFonts w:cstheme="minorHAnsi"/>
          <w:b/>
        </w:rPr>
        <w:t>note</w:t>
      </w:r>
      <w:r>
        <w:rPr>
          <w:rFonts w:cstheme="minorHAnsi"/>
        </w:rPr>
        <w:t xml:space="preserve"> that the AEG report doesn’t</w:t>
      </w:r>
      <w:r w:rsidR="0060579A">
        <w:rPr>
          <w:rFonts w:cstheme="minorHAnsi"/>
        </w:rPr>
        <w:t xml:space="preserve"> comprehensively </w:t>
      </w:r>
      <w:r>
        <w:rPr>
          <w:rFonts w:cstheme="minorHAnsi"/>
        </w:rPr>
        <w:t xml:space="preserve">consider if we currently have the right balance and weighting </w:t>
      </w:r>
      <w:r w:rsidR="00294E1A">
        <w:rPr>
          <w:rFonts w:cstheme="minorHAnsi"/>
        </w:rPr>
        <w:t>for</w:t>
      </w:r>
      <w:r w:rsidR="00AD65BD">
        <w:rPr>
          <w:rFonts w:cstheme="minorHAnsi"/>
        </w:rPr>
        <w:t xml:space="preserve"> </w:t>
      </w:r>
      <w:r>
        <w:rPr>
          <w:rFonts w:cstheme="minorHAnsi"/>
        </w:rPr>
        <w:t xml:space="preserve">the </w:t>
      </w:r>
      <w:r w:rsidR="00E457D3">
        <w:rPr>
          <w:rFonts w:cstheme="minorHAnsi"/>
        </w:rPr>
        <w:t>following</w:t>
      </w:r>
      <w:r w:rsidR="0060579A">
        <w:rPr>
          <w:rFonts w:cstheme="minorHAnsi"/>
        </w:rPr>
        <w:t xml:space="preserve"> suite of Govt. regulated and funded</w:t>
      </w:r>
      <w:r w:rsidR="00A95B17">
        <w:rPr>
          <w:lang w:val="en-US"/>
        </w:rPr>
        <w:t xml:space="preserve"> interventions</w:t>
      </w:r>
      <w:r>
        <w:rPr>
          <w:lang w:val="en-US"/>
        </w:rPr>
        <w:t>:</w:t>
      </w:r>
    </w:p>
    <w:p w:rsidR="00217A67" w:rsidRPr="00217A67" w:rsidRDefault="00217A67" w:rsidP="00217A67">
      <w:pPr>
        <w:rPr>
          <w:rFonts w:cstheme="minorHAnsi"/>
        </w:rPr>
      </w:pPr>
    </w:p>
    <w:p w:rsidR="007E066F" w:rsidRPr="00B20691" w:rsidRDefault="007E066F" w:rsidP="003866C7">
      <w:pPr>
        <w:pStyle w:val="ListParagraph"/>
        <w:numPr>
          <w:ilvl w:val="0"/>
          <w:numId w:val="19"/>
        </w:numPr>
        <w:rPr>
          <w:rFonts w:asciiTheme="minorHAnsi" w:hAnsiTheme="minorHAnsi" w:cstheme="minorHAnsi"/>
        </w:rPr>
      </w:pPr>
      <w:r w:rsidRPr="00B20691">
        <w:rPr>
          <w:rFonts w:asciiTheme="minorHAnsi" w:hAnsiTheme="minorHAnsi" w:cstheme="minorHAnsi"/>
        </w:rPr>
        <w:t>Family planning;</w:t>
      </w:r>
    </w:p>
    <w:p w:rsidR="007E066F" w:rsidRPr="00B20691" w:rsidRDefault="009E276D" w:rsidP="003866C7">
      <w:pPr>
        <w:pStyle w:val="ListParagraph"/>
        <w:numPr>
          <w:ilvl w:val="0"/>
          <w:numId w:val="19"/>
        </w:numPr>
        <w:rPr>
          <w:rFonts w:asciiTheme="minorHAnsi" w:hAnsiTheme="minorHAnsi" w:cstheme="minorHAnsi"/>
        </w:rPr>
      </w:pPr>
      <w:r w:rsidRPr="00B20691">
        <w:rPr>
          <w:rFonts w:asciiTheme="minorHAnsi" w:hAnsiTheme="minorHAnsi" w:cstheme="minorHAnsi"/>
        </w:rPr>
        <w:t>A</w:t>
      </w:r>
      <w:r>
        <w:rPr>
          <w:rFonts w:cstheme="minorHAnsi"/>
        </w:rPr>
        <w:t xml:space="preserve">ntenatal </w:t>
      </w:r>
      <w:r w:rsidRPr="00B20691">
        <w:rPr>
          <w:rFonts w:asciiTheme="minorHAnsi" w:hAnsiTheme="minorHAnsi" w:cstheme="minorHAnsi"/>
        </w:rPr>
        <w:t>classes</w:t>
      </w:r>
      <w:r w:rsidR="007E066F" w:rsidRPr="00B20691">
        <w:rPr>
          <w:rFonts w:asciiTheme="minorHAnsi" w:hAnsiTheme="minorHAnsi" w:cstheme="minorHAnsi"/>
        </w:rPr>
        <w:t>;</w:t>
      </w:r>
    </w:p>
    <w:p w:rsidR="007E066F" w:rsidRPr="00B20691" w:rsidRDefault="007E066F" w:rsidP="003866C7">
      <w:pPr>
        <w:pStyle w:val="ListParagraph"/>
        <w:numPr>
          <w:ilvl w:val="0"/>
          <w:numId w:val="19"/>
        </w:numPr>
        <w:rPr>
          <w:rFonts w:asciiTheme="minorHAnsi" w:hAnsiTheme="minorHAnsi" w:cstheme="minorHAnsi"/>
        </w:rPr>
      </w:pPr>
      <w:r w:rsidRPr="00B20691">
        <w:rPr>
          <w:rFonts w:asciiTheme="minorHAnsi" w:hAnsiTheme="minorHAnsi" w:cstheme="minorHAnsi"/>
        </w:rPr>
        <w:t>Pre-birth and post-birth care;</w:t>
      </w:r>
    </w:p>
    <w:p w:rsidR="007E066F" w:rsidRPr="00B20691" w:rsidRDefault="007E066F" w:rsidP="003866C7">
      <w:pPr>
        <w:pStyle w:val="ListParagraph"/>
        <w:numPr>
          <w:ilvl w:val="0"/>
          <w:numId w:val="19"/>
        </w:numPr>
        <w:rPr>
          <w:rFonts w:asciiTheme="minorHAnsi" w:hAnsiTheme="minorHAnsi" w:cstheme="minorHAnsi"/>
        </w:rPr>
      </w:pPr>
      <w:r w:rsidRPr="00B20691">
        <w:rPr>
          <w:rFonts w:asciiTheme="minorHAnsi" w:hAnsiTheme="minorHAnsi" w:cstheme="minorHAnsi"/>
        </w:rPr>
        <w:t>Well Child/Tamariki Ora;</w:t>
      </w:r>
    </w:p>
    <w:p w:rsidR="007E066F" w:rsidRPr="00B20691" w:rsidRDefault="007E066F" w:rsidP="003866C7">
      <w:pPr>
        <w:pStyle w:val="ListParagraph"/>
        <w:numPr>
          <w:ilvl w:val="0"/>
          <w:numId w:val="19"/>
        </w:numPr>
        <w:rPr>
          <w:rFonts w:asciiTheme="minorHAnsi" w:hAnsiTheme="minorHAnsi" w:cstheme="minorHAnsi"/>
        </w:rPr>
      </w:pPr>
      <w:r w:rsidRPr="00B20691">
        <w:rPr>
          <w:rStyle w:val="st1"/>
          <w:rFonts w:asciiTheme="minorHAnsi" w:hAnsiTheme="minorHAnsi" w:cstheme="minorHAnsi"/>
          <w:lang w:val="en"/>
        </w:rPr>
        <w:t>Whānau Ora</w:t>
      </w:r>
      <w:r w:rsidRPr="00B20691">
        <w:rPr>
          <w:rFonts w:asciiTheme="minorHAnsi" w:hAnsiTheme="minorHAnsi" w:cstheme="minorHAnsi"/>
        </w:rPr>
        <w:t>;</w:t>
      </w:r>
    </w:p>
    <w:p w:rsidR="007E066F" w:rsidRPr="00B20691" w:rsidRDefault="007E066F" w:rsidP="003866C7">
      <w:pPr>
        <w:pStyle w:val="ListParagraph"/>
        <w:numPr>
          <w:ilvl w:val="0"/>
          <w:numId w:val="19"/>
        </w:numPr>
        <w:rPr>
          <w:rFonts w:asciiTheme="minorHAnsi" w:hAnsiTheme="minorHAnsi" w:cstheme="minorHAnsi"/>
        </w:rPr>
      </w:pPr>
      <w:r w:rsidRPr="00B20691">
        <w:rPr>
          <w:rFonts w:asciiTheme="minorHAnsi" w:hAnsiTheme="minorHAnsi" w:cstheme="minorHAnsi"/>
        </w:rPr>
        <w:t>Family Start;</w:t>
      </w:r>
    </w:p>
    <w:p w:rsidR="007E066F" w:rsidRPr="00B20691" w:rsidRDefault="007E066F" w:rsidP="003866C7">
      <w:pPr>
        <w:pStyle w:val="ListParagraph"/>
        <w:numPr>
          <w:ilvl w:val="0"/>
          <w:numId w:val="19"/>
        </w:numPr>
        <w:rPr>
          <w:rFonts w:asciiTheme="minorHAnsi" w:hAnsiTheme="minorHAnsi" w:cstheme="minorHAnsi"/>
        </w:rPr>
      </w:pPr>
      <w:r w:rsidRPr="00B20691">
        <w:rPr>
          <w:rFonts w:asciiTheme="minorHAnsi" w:hAnsiTheme="minorHAnsi" w:cstheme="minorHAnsi"/>
        </w:rPr>
        <w:t>Free health care for under 6’s;</w:t>
      </w:r>
    </w:p>
    <w:p w:rsidR="007E066F" w:rsidRPr="00B20691" w:rsidRDefault="007E066F" w:rsidP="003866C7">
      <w:pPr>
        <w:pStyle w:val="ListParagraph"/>
        <w:numPr>
          <w:ilvl w:val="0"/>
          <w:numId w:val="19"/>
        </w:numPr>
        <w:rPr>
          <w:rFonts w:asciiTheme="minorHAnsi" w:hAnsiTheme="minorHAnsi" w:cstheme="minorHAnsi"/>
        </w:rPr>
      </w:pPr>
      <w:r w:rsidRPr="00B20691">
        <w:rPr>
          <w:rFonts w:asciiTheme="minorHAnsi" w:hAnsiTheme="minorHAnsi" w:cstheme="minorHAnsi"/>
        </w:rPr>
        <w:t>Pre-school subsidies;</w:t>
      </w:r>
    </w:p>
    <w:p w:rsidR="007E066F" w:rsidRPr="00B20691" w:rsidRDefault="007E066F" w:rsidP="003866C7">
      <w:pPr>
        <w:pStyle w:val="ListParagraph"/>
        <w:numPr>
          <w:ilvl w:val="0"/>
          <w:numId w:val="19"/>
        </w:numPr>
        <w:rPr>
          <w:rFonts w:asciiTheme="minorHAnsi" w:hAnsiTheme="minorHAnsi" w:cstheme="minorHAnsi"/>
        </w:rPr>
      </w:pPr>
      <w:r w:rsidRPr="00B20691">
        <w:rPr>
          <w:rFonts w:asciiTheme="minorHAnsi" w:hAnsiTheme="minorHAnsi" w:cstheme="minorHAnsi"/>
        </w:rPr>
        <w:t xml:space="preserve">Benefit transfers; </w:t>
      </w:r>
    </w:p>
    <w:p w:rsidR="007E066F" w:rsidRPr="00B20691" w:rsidRDefault="007E066F" w:rsidP="003866C7">
      <w:pPr>
        <w:pStyle w:val="ListParagraph"/>
        <w:numPr>
          <w:ilvl w:val="0"/>
          <w:numId w:val="19"/>
        </w:numPr>
        <w:rPr>
          <w:rFonts w:asciiTheme="minorHAnsi" w:hAnsiTheme="minorHAnsi" w:cstheme="minorHAnsi"/>
        </w:rPr>
      </w:pPr>
      <w:r w:rsidRPr="00B20691">
        <w:rPr>
          <w:rFonts w:asciiTheme="minorHAnsi" w:hAnsiTheme="minorHAnsi" w:cstheme="minorHAnsi"/>
        </w:rPr>
        <w:t>Paid parental leave;</w:t>
      </w:r>
    </w:p>
    <w:p w:rsidR="007E066F" w:rsidRPr="00B20691" w:rsidRDefault="007E066F" w:rsidP="003866C7">
      <w:pPr>
        <w:pStyle w:val="ListParagraph"/>
        <w:numPr>
          <w:ilvl w:val="0"/>
          <w:numId w:val="19"/>
        </w:numPr>
        <w:rPr>
          <w:rFonts w:asciiTheme="minorHAnsi" w:hAnsiTheme="minorHAnsi" w:cstheme="minorHAnsi"/>
        </w:rPr>
      </w:pPr>
      <w:r w:rsidRPr="00B20691">
        <w:rPr>
          <w:rFonts w:asciiTheme="minorHAnsi" w:hAnsiTheme="minorHAnsi" w:cstheme="minorHAnsi"/>
        </w:rPr>
        <w:t>Working for Families; and</w:t>
      </w:r>
    </w:p>
    <w:p w:rsidR="007E066F" w:rsidRPr="00B20691" w:rsidRDefault="007E066F" w:rsidP="003866C7">
      <w:pPr>
        <w:pStyle w:val="ListParagraph"/>
        <w:numPr>
          <w:ilvl w:val="0"/>
          <w:numId w:val="19"/>
        </w:numPr>
        <w:rPr>
          <w:rFonts w:asciiTheme="minorHAnsi" w:hAnsiTheme="minorHAnsi" w:cstheme="minorHAnsi"/>
        </w:rPr>
      </w:pPr>
      <w:r w:rsidRPr="00B20691">
        <w:rPr>
          <w:rFonts w:asciiTheme="minorHAnsi" w:hAnsiTheme="minorHAnsi" w:cstheme="minorHAnsi"/>
        </w:rPr>
        <w:t xml:space="preserve">Child care subsidies. </w:t>
      </w:r>
    </w:p>
    <w:p w:rsidR="00D73799" w:rsidRDefault="00D73799" w:rsidP="007E066F">
      <w:pPr>
        <w:autoSpaceDE w:val="0"/>
        <w:autoSpaceDN w:val="0"/>
        <w:adjustRightInd w:val="0"/>
        <w:spacing w:after="0" w:line="240" w:lineRule="auto"/>
        <w:ind w:left="720"/>
        <w:jc w:val="both"/>
        <w:rPr>
          <w:lang w:val="en-US"/>
        </w:rPr>
      </w:pPr>
    </w:p>
    <w:p w:rsidR="004418BB" w:rsidRDefault="00D73799" w:rsidP="003866C7">
      <w:pPr>
        <w:pStyle w:val="ListParagraph"/>
        <w:numPr>
          <w:ilvl w:val="0"/>
          <w:numId w:val="15"/>
        </w:numPr>
        <w:autoSpaceDE w:val="0"/>
        <w:autoSpaceDN w:val="0"/>
        <w:adjustRightInd w:val="0"/>
        <w:jc w:val="both"/>
        <w:rPr>
          <w:lang w:val="en-US"/>
        </w:rPr>
      </w:pPr>
      <w:r w:rsidRPr="00E457D3">
        <w:rPr>
          <w:b/>
        </w:rPr>
        <w:t>note</w:t>
      </w:r>
      <w:r>
        <w:t xml:space="preserve"> that m</w:t>
      </w:r>
      <w:r w:rsidR="00BC0682" w:rsidRPr="00F32E89">
        <w:t>easures to increase family income</w:t>
      </w:r>
      <w:r w:rsidR="00BC0682">
        <w:t xml:space="preserve"> </w:t>
      </w:r>
      <w:r w:rsidR="00BC0682" w:rsidRPr="00F32E89">
        <w:t>will be most effective in improving</w:t>
      </w:r>
      <w:r w:rsidR="00BC0682">
        <w:t xml:space="preserve"> </w:t>
      </w:r>
      <w:r w:rsidR="00BC0682" w:rsidRPr="00F32E89">
        <w:t>child outcomes if they are targeted to</w:t>
      </w:r>
      <w:r w:rsidR="00BC0682">
        <w:t xml:space="preserve"> </w:t>
      </w:r>
      <w:r w:rsidR="00BC0682" w:rsidRPr="00F32E89">
        <w:t>the poorest families, very early in the</w:t>
      </w:r>
      <w:r w:rsidR="00A95B17">
        <w:t xml:space="preserve"> life of the child. The r</w:t>
      </w:r>
      <w:r w:rsidR="00BC0682" w:rsidRPr="00F32E89">
        <w:t>ates of return are highest when</w:t>
      </w:r>
      <w:r w:rsidR="00BC0682">
        <w:t xml:space="preserve"> </w:t>
      </w:r>
      <w:r w:rsidR="00A95B17">
        <w:t>interventions focus o</w:t>
      </w:r>
      <w:r w:rsidR="00BC0682" w:rsidRPr="00F32E89">
        <w:t>n the early years</w:t>
      </w:r>
      <w:r w:rsidR="00BC0682">
        <w:t xml:space="preserve"> </w:t>
      </w:r>
      <w:r w:rsidR="00BC0682" w:rsidRPr="00F32E89">
        <w:t>because competence builds competence</w:t>
      </w:r>
      <w:r w:rsidR="00BC0682">
        <w:t xml:space="preserve"> </w:t>
      </w:r>
      <w:r w:rsidR="00BC0682" w:rsidRPr="00F32E89">
        <w:t>and because society has the longest time</w:t>
      </w:r>
      <w:r w:rsidR="00BC0682">
        <w:t xml:space="preserve"> to recoup the investment. </w:t>
      </w:r>
      <w:r w:rsidR="00BC0682" w:rsidRPr="00E457D3">
        <w:rPr>
          <w:lang w:val="en-US"/>
        </w:rPr>
        <w:t>It would be useful for the AEG to consi</w:t>
      </w:r>
      <w:r w:rsidR="004418BB">
        <w:rPr>
          <w:lang w:val="en-US"/>
        </w:rPr>
        <w:t xml:space="preserve">der this in </w:t>
      </w:r>
      <w:r w:rsidR="00D5400E">
        <w:rPr>
          <w:lang w:val="en-US"/>
        </w:rPr>
        <w:t xml:space="preserve">much </w:t>
      </w:r>
      <w:r w:rsidR="00A95B17">
        <w:rPr>
          <w:lang w:val="en-US"/>
        </w:rPr>
        <w:t xml:space="preserve">greater </w:t>
      </w:r>
      <w:r w:rsidR="004418BB">
        <w:rPr>
          <w:lang w:val="en-US"/>
        </w:rPr>
        <w:t>detail as the</w:t>
      </w:r>
      <w:r w:rsidR="00BC0682" w:rsidRPr="00E457D3">
        <w:rPr>
          <w:lang w:val="en-US"/>
        </w:rPr>
        <w:t xml:space="preserve"> </w:t>
      </w:r>
      <w:r w:rsidR="00A95B17">
        <w:rPr>
          <w:lang w:val="en-US"/>
        </w:rPr>
        <w:t xml:space="preserve">services and transfers </w:t>
      </w:r>
      <w:r w:rsidR="004418BB">
        <w:rPr>
          <w:lang w:val="en-US"/>
        </w:rPr>
        <w:t>noted in (e)</w:t>
      </w:r>
      <w:r w:rsidR="00BC0682" w:rsidRPr="00E457D3">
        <w:rPr>
          <w:lang w:val="en-US"/>
        </w:rPr>
        <w:t xml:space="preserve"> </w:t>
      </w:r>
      <w:r w:rsidR="004418BB">
        <w:rPr>
          <w:lang w:val="en-US"/>
        </w:rPr>
        <w:t xml:space="preserve">above </w:t>
      </w:r>
      <w:r w:rsidR="00A95B17">
        <w:rPr>
          <w:lang w:val="en-US"/>
        </w:rPr>
        <w:t>represent the</w:t>
      </w:r>
      <w:r w:rsidR="00BC0682" w:rsidRPr="00E457D3">
        <w:rPr>
          <w:lang w:val="en-US"/>
        </w:rPr>
        <w:t xml:space="preserve"> front line of pr</w:t>
      </w:r>
      <w:r w:rsidR="00E457D3" w:rsidRPr="00E457D3">
        <w:rPr>
          <w:lang w:val="en-US"/>
        </w:rPr>
        <w:t>otection</w:t>
      </w:r>
      <w:r w:rsidR="00A95B17">
        <w:rPr>
          <w:lang w:val="en-US"/>
        </w:rPr>
        <w:t>’s</w:t>
      </w:r>
      <w:r w:rsidR="00E457D3" w:rsidRPr="00E457D3">
        <w:rPr>
          <w:lang w:val="en-US"/>
        </w:rPr>
        <w:t xml:space="preserve"> against child poverty</w:t>
      </w:r>
      <w:r w:rsidR="00A95B17">
        <w:rPr>
          <w:lang w:val="en-US"/>
        </w:rPr>
        <w:t xml:space="preserve"> </w:t>
      </w:r>
      <w:r w:rsidR="00323F5E" w:rsidRPr="00323F5E">
        <w:rPr>
          <w:i/>
          <w:lang w:val="en-US"/>
        </w:rPr>
        <w:t>per se</w:t>
      </w:r>
      <w:r w:rsidR="00323F5E">
        <w:rPr>
          <w:lang w:val="en-US"/>
        </w:rPr>
        <w:t xml:space="preserve"> </w:t>
      </w:r>
      <w:r w:rsidR="00A95B17">
        <w:rPr>
          <w:lang w:val="en-US"/>
        </w:rPr>
        <w:t>and vulnerability generally</w:t>
      </w:r>
      <w:r w:rsidR="003A535E">
        <w:rPr>
          <w:lang w:val="en-US"/>
        </w:rPr>
        <w:t>;</w:t>
      </w:r>
    </w:p>
    <w:p w:rsidR="003A535E" w:rsidRDefault="003A535E" w:rsidP="003A535E">
      <w:pPr>
        <w:pStyle w:val="ListParagraph"/>
        <w:autoSpaceDE w:val="0"/>
        <w:autoSpaceDN w:val="0"/>
        <w:adjustRightInd w:val="0"/>
        <w:ind w:left="1080"/>
        <w:jc w:val="both"/>
        <w:rPr>
          <w:lang w:val="en-US"/>
        </w:rPr>
      </w:pPr>
    </w:p>
    <w:p w:rsidR="004418BB" w:rsidRPr="003A535E" w:rsidRDefault="003A535E" w:rsidP="003866C7">
      <w:pPr>
        <w:pStyle w:val="NoSpacing"/>
        <w:numPr>
          <w:ilvl w:val="0"/>
          <w:numId w:val="15"/>
        </w:numPr>
      </w:pPr>
      <w:r w:rsidRPr="003A535E">
        <w:rPr>
          <w:b/>
          <w:lang w:val="en-US"/>
        </w:rPr>
        <w:t>note</w:t>
      </w:r>
      <w:r>
        <w:rPr>
          <w:lang w:val="en-US"/>
        </w:rPr>
        <w:t xml:space="preserve"> </w:t>
      </w:r>
      <w:r>
        <w:t xml:space="preserve">there is value in reviewing the current mix of family planning advice/support provided for at risks teenagers, as access to and the price of </w:t>
      </w:r>
      <w:r w:rsidRPr="00CF1356">
        <w:rPr>
          <w:lang w:val="en-US"/>
        </w:rPr>
        <w:t>contraception</w:t>
      </w:r>
      <w:r>
        <w:rPr>
          <w:lang w:val="en-US"/>
        </w:rPr>
        <w:t xml:space="preserve"> does not seem to be </w:t>
      </w:r>
      <w:r w:rsidR="00BC4B16">
        <w:rPr>
          <w:lang w:val="en-US"/>
        </w:rPr>
        <w:t xml:space="preserve">a </w:t>
      </w:r>
      <w:r>
        <w:rPr>
          <w:lang w:val="en-US"/>
        </w:rPr>
        <w:t xml:space="preserve">significant </w:t>
      </w:r>
      <w:r w:rsidR="00BC4B16">
        <w:rPr>
          <w:lang w:val="en-US"/>
        </w:rPr>
        <w:t>factor;</w:t>
      </w:r>
      <w:r>
        <w:rPr>
          <w:lang w:val="en-US"/>
        </w:rPr>
        <w:t xml:space="preserve"> </w:t>
      </w:r>
    </w:p>
    <w:p w:rsidR="004418BB" w:rsidRPr="004418BB" w:rsidRDefault="004418BB" w:rsidP="004418BB">
      <w:pPr>
        <w:pStyle w:val="ListParagraph"/>
        <w:autoSpaceDE w:val="0"/>
        <w:autoSpaceDN w:val="0"/>
        <w:adjustRightInd w:val="0"/>
        <w:ind w:left="1080"/>
        <w:jc w:val="both"/>
        <w:rPr>
          <w:lang w:val="en-US"/>
        </w:rPr>
      </w:pPr>
    </w:p>
    <w:p w:rsidR="004418BB" w:rsidRPr="004418BB" w:rsidRDefault="00E457D3" w:rsidP="003866C7">
      <w:pPr>
        <w:pStyle w:val="ListParagraph"/>
        <w:numPr>
          <w:ilvl w:val="0"/>
          <w:numId w:val="15"/>
        </w:numPr>
        <w:autoSpaceDE w:val="0"/>
        <w:autoSpaceDN w:val="0"/>
        <w:adjustRightInd w:val="0"/>
        <w:jc w:val="both"/>
        <w:rPr>
          <w:lang w:val="en-US"/>
        </w:rPr>
      </w:pPr>
      <w:r w:rsidRPr="00E457D3">
        <w:rPr>
          <w:b/>
          <w:lang w:val="en-US"/>
        </w:rPr>
        <w:lastRenderedPageBreak/>
        <w:t>note</w:t>
      </w:r>
      <w:r>
        <w:rPr>
          <w:lang w:val="en-US"/>
        </w:rPr>
        <w:t xml:space="preserve"> that any move from targeted</w:t>
      </w:r>
      <w:r w:rsidR="00BC0682" w:rsidRPr="00E457D3">
        <w:rPr>
          <w:lang w:val="en-US"/>
        </w:rPr>
        <w:t xml:space="preserve"> to universal transfers</w:t>
      </w:r>
      <w:r>
        <w:rPr>
          <w:lang w:val="en-US"/>
        </w:rPr>
        <w:t xml:space="preserve"> needs to be assessed against</w:t>
      </w:r>
      <w:r w:rsidR="00BC0682" w:rsidRPr="00E457D3">
        <w:t xml:space="preserve"> the following</w:t>
      </w:r>
      <w:r w:rsidR="00BC0682">
        <w:t xml:space="preserve"> </w:t>
      </w:r>
      <w:r w:rsidR="00BC0682" w:rsidRPr="00E457D3">
        <w:t>principles</w:t>
      </w:r>
      <w:r w:rsidR="003D61BF">
        <w:t>, which to date has not been untaken and/or made public</w:t>
      </w:r>
      <w:r w:rsidR="00BC0682" w:rsidRPr="00E457D3">
        <w:t>:</w:t>
      </w:r>
    </w:p>
    <w:p w:rsidR="004418BB" w:rsidRPr="004418BB" w:rsidRDefault="004418BB" w:rsidP="004418BB">
      <w:pPr>
        <w:pStyle w:val="ListParagraph"/>
        <w:autoSpaceDE w:val="0"/>
        <w:autoSpaceDN w:val="0"/>
        <w:adjustRightInd w:val="0"/>
        <w:ind w:left="1080"/>
        <w:jc w:val="both"/>
        <w:rPr>
          <w:lang w:val="en-US"/>
        </w:rPr>
      </w:pPr>
    </w:p>
    <w:p w:rsidR="00BC0682" w:rsidRDefault="00BC0682" w:rsidP="003866C7">
      <w:pPr>
        <w:pStyle w:val="NoSpacing"/>
        <w:numPr>
          <w:ilvl w:val="0"/>
          <w:numId w:val="16"/>
        </w:numPr>
      </w:pPr>
      <w:r>
        <w:t>the nature of the problem to address;</w:t>
      </w:r>
    </w:p>
    <w:p w:rsidR="00BC0682" w:rsidRDefault="00BC0682" w:rsidP="003866C7">
      <w:pPr>
        <w:pStyle w:val="NoSpacing"/>
        <w:numPr>
          <w:ilvl w:val="0"/>
          <w:numId w:val="16"/>
        </w:numPr>
      </w:pPr>
      <w:r>
        <w:t>efficiency including the deadweight cost i.e. funding services that may be provided anyway;</w:t>
      </w:r>
    </w:p>
    <w:p w:rsidR="00BC0682" w:rsidRDefault="00BC0682" w:rsidP="003866C7">
      <w:pPr>
        <w:pStyle w:val="NoSpacing"/>
        <w:numPr>
          <w:ilvl w:val="0"/>
          <w:numId w:val="16"/>
        </w:numPr>
      </w:pPr>
      <w:r>
        <w:t>fiscal sustainability of the intervention;</w:t>
      </w:r>
    </w:p>
    <w:p w:rsidR="00BC0682" w:rsidRDefault="00BC0682" w:rsidP="003866C7">
      <w:pPr>
        <w:pStyle w:val="NoSpacing"/>
        <w:numPr>
          <w:ilvl w:val="0"/>
          <w:numId w:val="16"/>
        </w:numPr>
      </w:pPr>
      <w:r>
        <w:t>spread of the harm in the population;</w:t>
      </w:r>
    </w:p>
    <w:p w:rsidR="00BC0682" w:rsidRDefault="00BC0682" w:rsidP="003866C7">
      <w:pPr>
        <w:pStyle w:val="NoSpacing"/>
        <w:numPr>
          <w:ilvl w:val="0"/>
          <w:numId w:val="16"/>
        </w:numPr>
      </w:pPr>
      <w:r>
        <w:t>ability to discover and prevent any material harm at low cost;</w:t>
      </w:r>
    </w:p>
    <w:p w:rsidR="00BC0682" w:rsidRDefault="00BC0682" w:rsidP="003866C7">
      <w:pPr>
        <w:pStyle w:val="NoSpacing"/>
        <w:numPr>
          <w:ilvl w:val="0"/>
          <w:numId w:val="16"/>
        </w:numPr>
      </w:pPr>
      <w:r>
        <w:t>suitability of proxies to identify those harmed; and</w:t>
      </w:r>
    </w:p>
    <w:p w:rsidR="00BC0682" w:rsidRDefault="00BC0682" w:rsidP="003866C7">
      <w:pPr>
        <w:pStyle w:val="NoSpacing"/>
        <w:numPr>
          <w:ilvl w:val="0"/>
          <w:numId w:val="16"/>
        </w:numPr>
      </w:pPr>
      <w:r>
        <w:t>administration costs</w:t>
      </w:r>
      <w:r w:rsidR="00D120CA">
        <w:t xml:space="preserve"> </w:t>
      </w:r>
      <w:r w:rsidR="00941897">
        <w:t>involved.</w:t>
      </w:r>
    </w:p>
    <w:p w:rsidR="00E457D3" w:rsidRDefault="00E457D3" w:rsidP="00E457D3">
      <w:pPr>
        <w:pStyle w:val="NoSpacing"/>
      </w:pPr>
    </w:p>
    <w:p w:rsidR="00E457D3" w:rsidRDefault="00E457D3" w:rsidP="003866C7">
      <w:pPr>
        <w:pStyle w:val="NoSpacing"/>
        <w:numPr>
          <w:ilvl w:val="0"/>
          <w:numId w:val="15"/>
        </w:numPr>
      </w:pPr>
      <w:r w:rsidRPr="00E457D3">
        <w:rPr>
          <w:b/>
        </w:rPr>
        <w:t>note</w:t>
      </w:r>
      <w:r>
        <w:t xml:space="preserve"> that subject to costing</w:t>
      </w:r>
      <w:r w:rsidR="00A95B17">
        <w:t xml:space="preserve">s being </w:t>
      </w:r>
      <w:r w:rsidR="005865B7">
        <w:t xml:space="preserve">publicly </w:t>
      </w:r>
      <w:r w:rsidR="00A95B17">
        <w:t>available</w:t>
      </w:r>
      <w:r>
        <w:t xml:space="preserve">, we support </w:t>
      </w:r>
      <w:r w:rsidR="00A95B17">
        <w:t>further work i</w:t>
      </w:r>
      <w:r>
        <w:t>n the following</w:t>
      </w:r>
      <w:r w:rsidR="00A95B17">
        <w:t xml:space="preserve"> areas discussed in the report</w:t>
      </w:r>
      <w:r>
        <w:t>:</w:t>
      </w:r>
    </w:p>
    <w:p w:rsidR="00BC0682" w:rsidRPr="00BC0682" w:rsidRDefault="00BC0682" w:rsidP="00757ADA">
      <w:pPr>
        <w:ind w:left="720"/>
        <w:rPr>
          <w:rFonts w:cstheme="minorHAnsi"/>
        </w:rPr>
      </w:pPr>
    </w:p>
    <w:p w:rsidR="00E2561B" w:rsidRPr="00E2561B" w:rsidRDefault="00E2561B" w:rsidP="00757ADA">
      <w:pPr>
        <w:pStyle w:val="PlainText"/>
        <w:numPr>
          <w:ilvl w:val="0"/>
          <w:numId w:val="22"/>
        </w:numPr>
        <w:ind w:left="1800"/>
        <w:rPr>
          <w:lang w:val="en-US"/>
        </w:rPr>
      </w:pPr>
      <w:r>
        <w:rPr>
          <w:lang w:val="en-US"/>
        </w:rPr>
        <w:t xml:space="preserve">the integration of a package of support for sole parents has merit </w:t>
      </w:r>
      <w:r>
        <w:t>subject to costing</w:t>
      </w:r>
      <w:r>
        <w:rPr>
          <w:lang w:val="en-US"/>
        </w:rPr>
        <w:t xml:space="preserve">: </w:t>
      </w:r>
      <w:r w:rsidRPr="00E2561B">
        <w:rPr>
          <w:lang w:val="en-US"/>
        </w:rPr>
        <w:t>access to childcare;</w:t>
      </w:r>
      <w:r>
        <w:rPr>
          <w:lang w:val="en-US"/>
        </w:rPr>
        <w:t xml:space="preserve"> </w:t>
      </w:r>
      <w:r w:rsidR="00323563">
        <w:rPr>
          <w:lang w:val="en-US"/>
        </w:rPr>
        <w:t>early childhood education</w:t>
      </w:r>
      <w:r w:rsidRPr="00E2561B">
        <w:rPr>
          <w:lang w:val="en-US"/>
        </w:rPr>
        <w:t xml:space="preserve"> subsidies;</w:t>
      </w:r>
      <w:r>
        <w:rPr>
          <w:lang w:val="en-US"/>
        </w:rPr>
        <w:t xml:space="preserve"> </w:t>
      </w:r>
      <w:r w:rsidRPr="00E2561B">
        <w:rPr>
          <w:lang w:val="en-US"/>
        </w:rPr>
        <w:t xml:space="preserve">better marginal tax rates combined with </w:t>
      </w:r>
      <w:r>
        <w:t>tight work requirements for those with young children;</w:t>
      </w:r>
      <w:r>
        <w:rPr>
          <w:lang w:val="en-US"/>
        </w:rPr>
        <w:t xml:space="preserve"> </w:t>
      </w:r>
      <w:r>
        <w:t>additional universal health checks;</w:t>
      </w:r>
      <w:r>
        <w:rPr>
          <w:lang w:val="en-US"/>
        </w:rPr>
        <w:t xml:space="preserve"> </w:t>
      </w:r>
      <w:r>
        <w:t>enhanced access to contraception;</w:t>
      </w:r>
      <w:r>
        <w:rPr>
          <w:lang w:val="en-US"/>
        </w:rPr>
        <w:t xml:space="preserve"> </w:t>
      </w:r>
      <w:r>
        <w:t xml:space="preserve">with a </w:t>
      </w:r>
      <w:r w:rsidRPr="00E2561B">
        <w:rPr>
          <w:rFonts w:asciiTheme="minorHAnsi" w:hAnsiTheme="minorHAnsi" w:cstheme="minorHAnsi"/>
          <w:lang w:val="en"/>
        </w:rPr>
        <w:t>dedicated support person/</w:t>
      </w:r>
      <w:r>
        <w:t>mentor to assist in networking, engagement with fathers and facilitating access to appropriate education/training and/or employment;</w:t>
      </w:r>
      <w:r>
        <w:rPr>
          <w:lang w:val="en-US"/>
        </w:rPr>
        <w:t xml:space="preserve"> </w:t>
      </w:r>
      <w:r>
        <w:t xml:space="preserve">and the proposed advanced payment model. </w:t>
      </w:r>
    </w:p>
    <w:p w:rsidR="00E457D3" w:rsidRDefault="00E457D3" w:rsidP="00757ADA">
      <w:pPr>
        <w:pStyle w:val="PlainText"/>
        <w:ind w:left="720"/>
        <w:rPr>
          <w:rFonts w:cstheme="minorHAnsi"/>
        </w:rPr>
      </w:pPr>
    </w:p>
    <w:p w:rsidR="00E457D3" w:rsidRPr="00E457D3" w:rsidRDefault="00BC0682" w:rsidP="00757ADA">
      <w:pPr>
        <w:pStyle w:val="PlainText"/>
        <w:numPr>
          <w:ilvl w:val="0"/>
          <w:numId w:val="17"/>
        </w:numPr>
        <w:ind w:left="1800"/>
        <w:rPr>
          <w:rFonts w:cstheme="minorHAnsi"/>
        </w:rPr>
      </w:pPr>
      <w:r>
        <w:t>a principle in statue which says interest commitments entered into with high risk lenders have to be payable on the current income of the individual family taking ou</w:t>
      </w:r>
      <w:r w:rsidR="00E457D3">
        <w:t>t the loan</w:t>
      </w:r>
      <w:r w:rsidR="00B9159B">
        <w:t xml:space="preserve"> adjusted for risk</w:t>
      </w:r>
      <w:r w:rsidR="00E457D3">
        <w:t>;</w:t>
      </w:r>
      <w:r w:rsidR="007E4520">
        <w:t xml:space="preserve"> </w:t>
      </w:r>
    </w:p>
    <w:p w:rsidR="00E457D3" w:rsidRDefault="00E457D3" w:rsidP="00757ADA">
      <w:pPr>
        <w:pStyle w:val="ListParagraph"/>
        <w:ind w:left="1440"/>
      </w:pPr>
    </w:p>
    <w:p w:rsidR="00A95B17" w:rsidRPr="00A95B17" w:rsidRDefault="00E457D3" w:rsidP="00757ADA">
      <w:pPr>
        <w:pStyle w:val="PlainText"/>
        <w:numPr>
          <w:ilvl w:val="0"/>
          <w:numId w:val="17"/>
        </w:numPr>
        <w:ind w:left="1800"/>
        <w:rPr>
          <w:rFonts w:cstheme="minorHAnsi"/>
        </w:rPr>
      </w:pPr>
      <w:r>
        <w:t xml:space="preserve">while the data </w:t>
      </w:r>
      <w:r w:rsidR="005865B7">
        <w:t xml:space="preserve">available </w:t>
      </w:r>
      <w:r w:rsidRPr="00E457D3">
        <w:rPr>
          <w:rFonts w:cs="Arial"/>
        </w:rPr>
        <w:t xml:space="preserve">does not suggest that there is a widespread or systemic problem </w:t>
      </w:r>
      <w:r>
        <w:rPr>
          <w:rFonts w:cs="Arial"/>
        </w:rPr>
        <w:t xml:space="preserve">of school children not having breakfast </w:t>
      </w:r>
      <w:r w:rsidRPr="00E457D3">
        <w:rPr>
          <w:rFonts w:cs="Arial"/>
        </w:rPr>
        <w:t>in New Zealand</w:t>
      </w:r>
      <w:r>
        <w:rPr>
          <w:rFonts w:cs="Arial"/>
        </w:rPr>
        <w:t xml:space="preserve"> t</w:t>
      </w:r>
      <w:r w:rsidR="00BC0682" w:rsidRPr="00E457D3">
        <w:rPr>
          <w:rFonts w:cs="Arial"/>
        </w:rPr>
        <w:t xml:space="preserve">here is a good policy case for considering higher funding for low decile early childhood education providers </w:t>
      </w:r>
      <w:r w:rsidR="005F73FB">
        <w:rPr>
          <w:rFonts w:cs="Arial"/>
        </w:rPr>
        <w:t>and/</w:t>
      </w:r>
      <w:r w:rsidR="00BC0682" w:rsidRPr="00E457D3">
        <w:rPr>
          <w:rFonts w:cs="Arial"/>
        </w:rPr>
        <w:t xml:space="preserve">or </w:t>
      </w:r>
      <w:r w:rsidR="00A95B17">
        <w:rPr>
          <w:rFonts w:cs="Arial"/>
        </w:rPr>
        <w:t xml:space="preserve">primary </w:t>
      </w:r>
      <w:r w:rsidR="00BC0682" w:rsidRPr="00E457D3">
        <w:rPr>
          <w:rFonts w:cs="Arial"/>
        </w:rPr>
        <w:t xml:space="preserve">schools given the strong linkage between achievement and socio-economic status in New Zealand, and the comparatively low level of targeting currently </w:t>
      </w:r>
      <w:r w:rsidR="00A95B17">
        <w:rPr>
          <w:rFonts w:cs="Arial"/>
        </w:rPr>
        <w:t>compared to most OECD countries;</w:t>
      </w:r>
      <w:r w:rsidR="007E4520">
        <w:rPr>
          <w:rFonts w:cs="Arial"/>
        </w:rPr>
        <w:t xml:space="preserve"> and</w:t>
      </w:r>
    </w:p>
    <w:p w:rsidR="00A95B17" w:rsidRDefault="00A95B17" w:rsidP="00757ADA">
      <w:pPr>
        <w:pStyle w:val="ListParagraph"/>
        <w:ind w:left="1440"/>
        <w:rPr>
          <w:rFonts w:cs="Arial"/>
        </w:rPr>
      </w:pPr>
    </w:p>
    <w:p w:rsidR="00E82C68" w:rsidRPr="00E9709B" w:rsidRDefault="00A95B17" w:rsidP="00E9709B">
      <w:pPr>
        <w:pStyle w:val="PlainText"/>
        <w:numPr>
          <w:ilvl w:val="0"/>
          <w:numId w:val="17"/>
        </w:numPr>
        <w:ind w:left="1800"/>
        <w:rPr>
          <w:rFonts w:cstheme="minorHAnsi"/>
        </w:rPr>
      </w:pPr>
      <w:r>
        <w:rPr>
          <w:rFonts w:cs="Arial"/>
        </w:rPr>
        <w:t>a</w:t>
      </w:r>
      <w:r w:rsidR="00E457D3" w:rsidRPr="00E457D3">
        <w:rPr>
          <w:rFonts w:cs="Arial"/>
        </w:rPr>
        <w:t xml:space="preserve">ny additional funding should be targeted through either the equity or decile funding of early childhood education providers or </w:t>
      </w:r>
      <w:r>
        <w:rPr>
          <w:rFonts w:cs="Arial"/>
        </w:rPr>
        <w:t xml:space="preserve">primary </w:t>
      </w:r>
      <w:r w:rsidR="00E457D3" w:rsidRPr="00E457D3">
        <w:rPr>
          <w:rFonts w:cs="Arial"/>
        </w:rPr>
        <w:t>schools and more intensive care provided through the NGO sector via the social worker in low decile schools</w:t>
      </w:r>
      <w:r w:rsidR="00782CF3">
        <w:rPr>
          <w:rFonts w:cs="Arial"/>
        </w:rPr>
        <w:t xml:space="preserve"> type </w:t>
      </w:r>
      <w:r w:rsidR="00E457D3" w:rsidRPr="00E457D3">
        <w:rPr>
          <w:rFonts w:cs="Arial"/>
        </w:rPr>
        <w:t>initiative</w:t>
      </w:r>
      <w:r w:rsidR="00782CF3">
        <w:rPr>
          <w:rFonts w:cs="Arial"/>
        </w:rPr>
        <w:t>s</w:t>
      </w:r>
      <w:r w:rsidR="00E457D3" w:rsidRPr="00E457D3">
        <w:rPr>
          <w:rFonts w:cs="Arial"/>
        </w:rPr>
        <w:t>.</w:t>
      </w:r>
      <w:r w:rsidR="00E457D3">
        <w:rPr>
          <w:rFonts w:cs="Arial"/>
        </w:rPr>
        <w:t xml:space="preserve"> </w:t>
      </w:r>
      <w:r w:rsidR="00E457D3" w:rsidRPr="00E457D3">
        <w:rPr>
          <w:rFonts w:asciiTheme="minorHAnsi" w:hAnsiTheme="minorHAnsi" w:cstheme="minorHAnsi"/>
          <w:lang w:val="en"/>
        </w:rPr>
        <w:t xml:space="preserve">As </w:t>
      </w:r>
      <w:r w:rsidR="00B35759" w:rsidRPr="00E457D3">
        <w:rPr>
          <w:rFonts w:asciiTheme="minorHAnsi" w:hAnsiTheme="minorHAnsi" w:cstheme="minorHAnsi"/>
          <w:lang w:val="en"/>
        </w:rPr>
        <w:t xml:space="preserve">children’s brains are developing the most from 0 to 3 years, this would suggest, </w:t>
      </w:r>
      <w:r w:rsidR="00B35759" w:rsidRPr="00E457D3">
        <w:rPr>
          <w:rFonts w:asciiTheme="minorHAnsi" w:hAnsiTheme="minorHAnsi" w:cstheme="minorHAnsi"/>
          <w:i/>
          <w:lang w:val="en"/>
        </w:rPr>
        <w:t>prima facie</w:t>
      </w:r>
      <w:r w:rsidR="00B35759" w:rsidRPr="00E457D3">
        <w:rPr>
          <w:rFonts w:asciiTheme="minorHAnsi" w:hAnsiTheme="minorHAnsi" w:cstheme="minorHAnsi"/>
          <w:lang w:val="en"/>
        </w:rPr>
        <w:t>, that new funding should be targeted</w:t>
      </w:r>
      <w:r w:rsidR="00B174E4">
        <w:rPr>
          <w:rFonts w:asciiTheme="minorHAnsi" w:hAnsiTheme="minorHAnsi" w:cstheme="minorHAnsi"/>
          <w:lang w:val="en"/>
        </w:rPr>
        <w:t>,</w:t>
      </w:r>
      <w:r w:rsidR="00B35759" w:rsidRPr="00E457D3">
        <w:rPr>
          <w:rFonts w:asciiTheme="minorHAnsi" w:hAnsiTheme="minorHAnsi" w:cstheme="minorHAnsi"/>
          <w:lang w:val="en"/>
        </w:rPr>
        <w:t xml:space="preserve"> </w:t>
      </w:r>
      <w:r w:rsidR="00E457D3">
        <w:rPr>
          <w:rFonts w:asciiTheme="minorHAnsi" w:hAnsiTheme="minorHAnsi" w:cstheme="minorHAnsi"/>
          <w:lang w:val="en"/>
        </w:rPr>
        <w:t>in the first instance</w:t>
      </w:r>
      <w:r w:rsidR="00B174E4">
        <w:rPr>
          <w:rFonts w:asciiTheme="minorHAnsi" w:hAnsiTheme="minorHAnsi" w:cstheme="minorHAnsi"/>
          <w:lang w:val="en"/>
        </w:rPr>
        <w:t>,</w:t>
      </w:r>
      <w:r w:rsidR="00E457D3">
        <w:rPr>
          <w:rFonts w:asciiTheme="minorHAnsi" w:hAnsiTheme="minorHAnsi" w:cstheme="minorHAnsi"/>
          <w:lang w:val="en"/>
        </w:rPr>
        <w:t xml:space="preserve"> </w:t>
      </w:r>
      <w:r w:rsidR="00177A97">
        <w:rPr>
          <w:rFonts w:asciiTheme="minorHAnsi" w:hAnsiTheme="minorHAnsi" w:cstheme="minorHAnsi"/>
          <w:lang w:val="en"/>
        </w:rPr>
        <w:t xml:space="preserve">at </w:t>
      </w:r>
      <w:r w:rsidR="00177AEE">
        <w:rPr>
          <w:rFonts w:asciiTheme="minorHAnsi" w:hAnsiTheme="minorHAnsi" w:cstheme="minorHAnsi"/>
          <w:lang w:val="en"/>
        </w:rPr>
        <w:t>children in early childhood education in low decile areas</w:t>
      </w:r>
      <w:r w:rsidR="00E82C68">
        <w:rPr>
          <w:rFonts w:asciiTheme="minorHAnsi" w:hAnsiTheme="minorHAnsi" w:cstheme="minorHAnsi"/>
          <w:lang w:val="en"/>
        </w:rPr>
        <w:t xml:space="preserve">;  </w:t>
      </w:r>
    </w:p>
    <w:p w:rsidR="00E9709B" w:rsidRPr="00E9709B" w:rsidRDefault="00E9709B" w:rsidP="00217A67">
      <w:pPr>
        <w:pStyle w:val="PlainText"/>
        <w:rPr>
          <w:rFonts w:cstheme="minorHAnsi"/>
        </w:rPr>
      </w:pPr>
    </w:p>
    <w:p w:rsidR="00B027CD" w:rsidRDefault="00E82C68" w:rsidP="00757ADA">
      <w:pPr>
        <w:pStyle w:val="ListParagraph"/>
        <w:numPr>
          <w:ilvl w:val="0"/>
          <w:numId w:val="17"/>
        </w:numPr>
        <w:ind w:left="1800"/>
        <w:rPr>
          <w:rFonts w:cstheme="minorHAnsi"/>
        </w:rPr>
      </w:pPr>
      <w:r w:rsidRPr="00E82C68">
        <w:rPr>
          <w:rFonts w:cstheme="minorHAnsi"/>
        </w:rPr>
        <w:t xml:space="preserve">a full cost/benefit analysis </w:t>
      </w:r>
      <w:r w:rsidR="00B027CD">
        <w:rPr>
          <w:rFonts w:cstheme="minorHAnsi"/>
        </w:rPr>
        <w:t xml:space="preserve">of the warrant of fitness approach </w:t>
      </w:r>
      <w:r w:rsidR="003B5416">
        <w:rPr>
          <w:rFonts w:cstheme="minorHAnsi"/>
        </w:rPr>
        <w:t xml:space="preserve">for rental accommodation </w:t>
      </w:r>
      <w:r w:rsidRPr="00E82C68">
        <w:rPr>
          <w:rFonts w:cstheme="minorHAnsi"/>
        </w:rPr>
        <w:t>by appropriate Government agencies which also assess</w:t>
      </w:r>
      <w:r w:rsidR="00B027CD">
        <w:rPr>
          <w:rFonts w:cstheme="minorHAnsi"/>
        </w:rPr>
        <w:t>es</w:t>
      </w:r>
      <w:r w:rsidRPr="00E82C68">
        <w:rPr>
          <w:rFonts w:cstheme="minorHAnsi"/>
        </w:rPr>
        <w:t xml:space="preserve"> the impact of the sequencing of any proposed changes</w:t>
      </w:r>
      <w:r w:rsidR="0074356F">
        <w:rPr>
          <w:rFonts w:cstheme="minorHAnsi"/>
        </w:rPr>
        <w:t xml:space="preserve">. The analysis should consider the degree </w:t>
      </w:r>
      <w:r w:rsidR="0074356F">
        <w:rPr>
          <w:lang w:val="en-US"/>
        </w:rPr>
        <w:t>t</w:t>
      </w:r>
      <w:r w:rsidR="0074356F" w:rsidRPr="002D1E95">
        <w:rPr>
          <w:lang w:val="en-US"/>
        </w:rPr>
        <w:t>ransience</w:t>
      </w:r>
      <w:r w:rsidR="0074356F">
        <w:rPr>
          <w:lang w:val="en-US"/>
        </w:rPr>
        <w:t xml:space="preserve"> </w:t>
      </w:r>
      <w:r w:rsidR="00166E3E">
        <w:rPr>
          <w:lang w:val="en-US"/>
        </w:rPr>
        <w:t>impacts on</w:t>
      </w:r>
      <w:r w:rsidR="0074356F" w:rsidRPr="002D1E95">
        <w:rPr>
          <w:lang w:val="en-US"/>
        </w:rPr>
        <w:t xml:space="preserve"> healthy attachment formation in</w:t>
      </w:r>
      <w:r w:rsidR="0074356F">
        <w:rPr>
          <w:lang w:val="en-US"/>
        </w:rPr>
        <w:t xml:space="preserve"> young children</w:t>
      </w:r>
      <w:r w:rsidR="00B027CD">
        <w:rPr>
          <w:rFonts w:cstheme="minorHAnsi"/>
        </w:rPr>
        <w:t>;</w:t>
      </w:r>
    </w:p>
    <w:p w:rsidR="00B027CD" w:rsidRDefault="00B027CD" w:rsidP="00757ADA">
      <w:pPr>
        <w:pStyle w:val="ListParagraph"/>
        <w:ind w:left="1800"/>
        <w:rPr>
          <w:rFonts w:cstheme="minorHAnsi"/>
        </w:rPr>
      </w:pPr>
    </w:p>
    <w:p w:rsidR="00E82C68" w:rsidRPr="00E82C68" w:rsidRDefault="00E82C68" w:rsidP="00757ADA">
      <w:pPr>
        <w:pStyle w:val="ListParagraph"/>
        <w:numPr>
          <w:ilvl w:val="0"/>
          <w:numId w:val="17"/>
        </w:numPr>
        <w:ind w:left="1800"/>
        <w:rPr>
          <w:rFonts w:cstheme="minorHAnsi"/>
        </w:rPr>
      </w:pPr>
      <w:r w:rsidRPr="00E82C68">
        <w:rPr>
          <w:rFonts w:cstheme="minorHAnsi"/>
        </w:rPr>
        <w:t xml:space="preserve"> </w:t>
      </w:r>
      <w:r w:rsidR="00B027CD">
        <w:rPr>
          <w:rFonts w:asciiTheme="minorHAnsi" w:hAnsiTheme="minorHAnsi" w:cstheme="minorHAnsi"/>
        </w:rPr>
        <w:t>w</w:t>
      </w:r>
      <w:r>
        <w:rPr>
          <w:rFonts w:asciiTheme="minorHAnsi" w:hAnsiTheme="minorHAnsi" w:cstheme="minorHAnsi"/>
        </w:rPr>
        <w:t xml:space="preserve">e strongly believe there is also considerable value in </w:t>
      </w:r>
      <w:r w:rsidRPr="002B04EE">
        <w:rPr>
          <w:rFonts w:asciiTheme="minorHAnsi" w:hAnsiTheme="minorHAnsi" w:cstheme="minorHAnsi"/>
        </w:rPr>
        <w:t>fa</w:t>
      </w:r>
      <w:r>
        <w:rPr>
          <w:rFonts w:asciiTheme="minorHAnsi" w:hAnsiTheme="minorHAnsi" w:cstheme="minorHAnsi"/>
        </w:rPr>
        <w:t xml:space="preserve">ith-based and </w:t>
      </w:r>
      <w:r w:rsidRPr="002B04EE">
        <w:rPr>
          <w:rFonts w:asciiTheme="minorHAnsi" w:hAnsiTheme="minorHAnsi" w:cstheme="minorHAnsi"/>
        </w:rPr>
        <w:t>other suppliers of rental accommodation for those o</w:t>
      </w:r>
      <w:r>
        <w:rPr>
          <w:rFonts w:asciiTheme="minorHAnsi" w:hAnsiTheme="minorHAnsi" w:cstheme="minorHAnsi"/>
        </w:rPr>
        <w:t xml:space="preserve">n very low incomes to merge, </w:t>
      </w:r>
      <w:r>
        <w:rPr>
          <w:rFonts w:asciiTheme="minorHAnsi" w:hAnsiTheme="minorHAnsi" w:cstheme="minorHAnsi"/>
        </w:rPr>
        <w:lastRenderedPageBreak/>
        <w:t>create</w:t>
      </w:r>
      <w:r w:rsidRPr="002B04EE">
        <w:rPr>
          <w:rFonts w:asciiTheme="minorHAnsi" w:hAnsiTheme="minorHAnsi" w:cstheme="minorHAnsi"/>
        </w:rPr>
        <w:t xml:space="preserve"> </w:t>
      </w:r>
      <w:r>
        <w:rPr>
          <w:rFonts w:asciiTheme="minorHAnsi" w:hAnsiTheme="minorHAnsi" w:cstheme="minorHAnsi"/>
        </w:rPr>
        <w:t xml:space="preserve">greater </w:t>
      </w:r>
      <w:r w:rsidRPr="002B04EE">
        <w:rPr>
          <w:rFonts w:asciiTheme="minorHAnsi" w:hAnsiTheme="minorHAnsi" w:cstheme="minorHAnsi"/>
        </w:rPr>
        <w:t xml:space="preserve">economies of scale with </w:t>
      </w:r>
      <w:r>
        <w:rPr>
          <w:rFonts w:asciiTheme="minorHAnsi" w:hAnsiTheme="minorHAnsi" w:cstheme="minorHAnsi"/>
        </w:rPr>
        <w:t xml:space="preserve">a </w:t>
      </w:r>
      <w:r w:rsidRPr="002B04EE">
        <w:rPr>
          <w:rFonts w:asciiTheme="minorHAnsi" w:hAnsiTheme="minorHAnsi" w:cstheme="minorHAnsi"/>
        </w:rPr>
        <w:t>strong brand presence to drive high</w:t>
      </w:r>
      <w:r>
        <w:rPr>
          <w:rFonts w:asciiTheme="minorHAnsi" w:hAnsiTheme="minorHAnsi" w:cstheme="minorHAnsi"/>
        </w:rPr>
        <w:t>er</w:t>
      </w:r>
      <w:r w:rsidRPr="002B04EE">
        <w:rPr>
          <w:rFonts w:asciiTheme="minorHAnsi" w:hAnsiTheme="minorHAnsi" w:cstheme="minorHAnsi"/>
        </w:rPr>
        <w:t xml:space="preserve"> voluntarily standards and disclosure to differentiate themselves from low</w:t>
      </w:r>
      <w:r>
        <w:rPr>
          <w:rFonts w:asciiTheme="minorHAnsi" w:hAnsiTheme="minorHAnsi" w:cstheme="minorHAnsi"/>
        </w:rPr>
        <w:t xml:space="preserve">er </w:t>
      </w:r>
      <w:r w:rsidRPr="002B04EE">
        <w:rPr>
          <w:rFonts w:asciiTheme="minorHAnsi" w:hAnsiTheme="minorHAnsi" w:cstheme="minorHAnsi"/>
        </w:rPr>
        <w:t xml:space="preserve">quality suppliers. </w:t>
      </w:r>
      <w:r>
        <w:rPr>
          <w:rFonts w:asciiTheme="minorHAnsi" w:hAnsiTheme="minorHAnsi" w:cstheme="minorHAnsi"/>
        </w:rPr>
        <w:t xml:space="preserve"> Government could assist in taking both a leadership </w:t>
      </w:r>
      <w:r w:rsidR="0090558A">
        <w:rPr>
          <w:rFonts w:asciiTheme="minorHAnsi" w:hAnsiTheme="minorHAnsi" w:cstheme="minorHAnsi"/>
        </w:rPr>
        <w:t xml:space="preserve">role </w:t>
      </w:r>
      <w:r>
        <w:rPr>
          <w:rFonts w:asciiTheme="minorHAnsi" w:hAnsiTheme="minorHAnsi" w:cstheme="minorHAnsi"/>
        </w:rPr>
        <w:t>and lowering the sunk costs of this type of approach;</w:t>
      </w:r>
    </w:p>
    <w:p w:rsidR="00E82C68" w:rsidRPr="00E82C68" w:rsidRDefault="00E82C68" w:rsidP="00757ADA">
      <w:pPr>
        <w:pStyle w:val="ListParagraph"/>
        <w:ind w:left="1800"/>
        <w:rPr>
          <w:rFonts w:cstheme="minorHAnsi"/>
        </w:rPr>
      </w:pPr>
    </w:p>
    <w:p w:rsidR="00E82C68" w:rsidRPr="00E82C68" w:rsidRDefault="00E82C68" w:rsidP="00757ADA">
      <w:pPr>
        <w:pStyle w:val="ListParagraph"/>
        <w:numPr>
          <w:ilvl w:val="0"/>
          <w:numId w:val="17"/>
        </w:numPr>
        <w:ind w:left="1800"/>
        <w:rPr>
          <w:rFonts w:cstheme="minorHAnsi"/>
        </w:rPr>
      </w:pPr>
      <w:r>
        <w:rPr>
          <w:rFonts w:asciiTheme="minorHAnsi" w:hAnsiTheme="minorHAnsi" w:cstheme="minorHAnsi"/>
        </w:rPr>
        <w:t xml:space="preserve">a voluntary approach </w:t>
      </w:r>
      <w:r w:rsidRPr="008B615F">
        <w:t xml:space="preserve">along the lines of an extended insulation </w:t>
      </w:r>
      <w:r w:rsidR="00163B33" w:rsidRPr="008B615F">
        <w:t>scheme e.g</w:t>
      </w:r>
      <w:r w:rsidRPr="008B615F">
        <w:t xml:space="preserve">. low-interest loans to a specified group of landlords to bring their houses up to a specified </w:t>
      </w:r>
      <w:r w:rsidR="00340D39" w:rsidRPr="008B615F">
        <w:t>standard,</w:t>
      </w:r>
      <w:r>
        <w:t xml:space="preserve"> </w:t>
      </w:r>
      <w:r w:rsidRPr="008B615F">
        <w:t>target</w:t>
      </w:r>
      <w:r>
        <w:t>ing</w:t>
      </w:r>
      <w:r w:rsidRPr="008B615F">
        <w:t xml:space="preserve"> particular </w:t>
      </w:r>
      <w:r w:rsidR="00EF2DB3">
        <w:t xml:space="preserve">disadvantaged </w:t>
      </w:r>
      <w:r w:rsidRPr="008B615F">
        <w:t>neighbourhoods.  It could cover repairs or work to address specific issues e.g. ventilation, insulation, heating, stopping drafts etc</w:t>
      </w:r>
      <w:r>
        <w:t>.  </w:t>
      </w:r>
      <w:r w:rsidRPr="008B615F">
        <w:t xml:space="preserve">This would have a lower-cost than a mandatory regime, but be </w:t>
      </w:r>
      <w:r w:rsidR="00F7687F">
        <w:t>less likely to disrupt supply</w:t>
      </w:r>
      <w:r w:rsidR="002C5F3B">
        <w:t>;</w:t>
      </w:r>
      <w:r w:rsidR="00F7687F">
        <w:t xml:space="preserve"> and</w:t>
      </w:r>
    </w:p>
    <w:p w:rsidR="00E82C68" w:rsidRPr="00E457D3" w:rsidRDefault="00E82C68" w:rsidP="00757ADA">
      <w:pPr>
        <w:pStyle w:val="PlainText"/>
        <w:ind w:left="1800"/>
        <w:rPr>
          <w:rFonts w:cstheme="minorHAnsi"/>
        </w:rPr>
      </w:pPr>
    </w:p>
    <w:p w:rsidR="00E82C68" w:rsidRDefault="00E82C68" w:rsidP="00757ADA">
      <w:pPr>
        <w:pStyle w:val="PlainText"/>
        <w:numPr>
          <w:ilvl w:val="0"/>
          <w:numId w:val="17"/>
        </w:numPr>
        <w:ind w:left="1800"/>
        <w:rPr>
          <w:rFonts w:cstheme="minorHAnsi"/>
        </w:rPr>
      </w:pPr>
      <w:r>
        <w:rPr>
          <w:rFonts w:cstheme="minorHAnsi"/>
        </w:rPr>
        <w:t>setting up a comprehensive evaluation programme on a longitudinal basis which identifies what mix of interventions works best to minimise child poverty and builds resilie</w:t>
      </w:r>
      <w:r w:rsidR="00F7687F">
        <w:rPr>
          <w:rFonts w:cstheme="minorHAnsi"/>
        </w:rPr>
        <w:t>nce to vulnerability over time.</w:t>
      </w:r>
    </w:p>
    <w:p w:rsidR="00A95B17" w:rsidRDefault="00A95B17" w:rsidP="00A95B17">
      <w:pPr>
        <w:pStyle w:val="NoSpacing"/>
        <w:ind w:firstLine="720"/>
        <w:rPr>
          <w:rFonts w:ascii="Calibri" w:hAnsi="Calibri" w:cs="Calibri"/>
        </w:rPr>
      </w:pPr>
    </w:p>
    <w:p w:rsidR="00443908" w:rsidRDefault="00443908" w:rsidP="00443908">
      <w:pPr>
        <w:pStyle w:val="Default"/>
      </w:pPr>
    </w:p>
    <w:p w:rsidR="0054321A" w:rsidRDefault="0054321A" w:rsidP="005865B7">
      <w:pPr>
        <w:pStyle w:val="NoSpacing"/>
        <w:ind w:firstLine="720"/>
      </w:pPr>
    </w:p>
    <w:p w:rsidR="0054321A" w:rsidRDefault="0054321A" w:rsidP="005865B7">
      <w:pPr>
        <w:pStyle w:val="NoSpacing"/>
        <w:ind w:firstLine="720"/>
      </w:pPr>
    </w:p>
    <w:p w:rsidR="00163B33" w:rsidRDefault="00163B33" w:rsidP="005865B7">
      <w:pPr>
        <w:pStyle w:val="NoSpacing"/>
        <w:ind w:firstLine="720"/>
      </w:pPr>
    </w:p>
    <w:p w:rsidR="002C6A6E" w:rsidRDefault="00E457D3" w:rsidP="005865B7">
      <w:pPr>
        <w:pStyle w:val="NoSpacing"/>
        <w:ind w:firstLine="720"/>
      </w:pPr>
      <w:r>
        <w:t>Maggy Tai Rakena</w:t>
      </w:r>
    </w:p>
    <w:p w:rsidR="00E457D3" w:rsidRDefault="00E457D3" w:rsidP="00B9159B">
      <w:pPr>
        <w:pStyle w:val="NoSpacing"/>
        <w:ind w:left="720"/>
      </w:pPr>
      <w:r>
        <w:t>Chair, SSPA</w:t>
      </w:r>
    </w:p>
    <w:p w:rsidR="006B0C1E" w:rsidRDefault="006B0C1E" w:rsidP="00B9159B">
      <w:pPr>
        <w:shd w:val="clear" w:color="auto" w:fill="FFFFFF"/>
        <w:ind w:left="720"/>
        <w:rPr>
          <w:rFonts w:ascii="Arial" w:hAnsi="Arial" w:cs="Arial"/>
          <w:color w:val="000000"/>
        </w:rPr>
      </w:pPr>
    </w:p>
    <w:p w:rsidR="00CF549B" w:rsidRDefault="00171D07" w:rsidP="00B9159B">
      <w:pPr>
        <w:pStyle w:val="NoSpacing"/>
        <w:ind w:left="720"/>
      </w:pPr>
      <w:r>
        <w:t>John Dickson</w:t>
      </w:r>
    </w:p>
    <w:p w:rsidR="00171D07" w:rsidRDefault="00171D07" w:rsidP="00B9159B">
      <w:pPr>
        <w:pStyle w:val="NoSpacing"/>
        <w:ind w:left="720"/>
      </w:pPr>
      <w:r>
        <w:t>Manager, SSPA</w:t>
      </w:r>
    </w:p>
    <w:p w:rsidR="00171D07" w:rsidRDefault="00393089" w:rsidP="00B9159B">
      <w:pPr>
        <w:pStyle w:val="NoSpacing"/>
        <w:ind w:left="720"/>
      </w:pPr>
      <w:hyperlink r:id="rId15" w:history="1">
        <w:r w:rsidR="00171D07" w:rsidRPr="00406862">
          <w:rPr>
            <w:rStyle w:val="Hyperlink"/>
          </w:rPr>
          <w:t>info@sspa.org.nz</w:t>
        </w:r>
      </w:hyperlink>
    </w:p>
    <w:p w:rsidR="00171D07" w:rsidRDefault="00171D07" w:rsidP="00B9159B">
      <w:pPr>
        <w:pStyle w:val="NoSpacing"/>
        <w:ind w:left="720"/>
      </w:pPr>
      <w:r>
        <w:t>027</w:t>
      </w:r>
      <w:r w:rsidR="00557292">
        <w:t xml:space="preserve"> </w:t>
      </w:r>
      <w:r>
        <w:t>5101517</w:t>
      </w:r>
    </w:p>
    <w:p w:rsidR="0011256D" w:rsidRDefault="0011256D" w:rsidP="004101BC">
      <w:pPr>
        <w:autoSpaceDE w:val="0"/>
        <w:autoSpaceDN w:val="0"/>
        <w:adjustRightInd w:val="0"/>
        <w:spacing w:after="0" w:line="240" w:lineRule="auto"/>
        <w:rPr>
          <w:rFonts w:cstheme="minorHAnsi"/>
        </w:rPr>
      </w:pPr>
    </w:p>
    <w:p w:rsidR="00FD73FC" w:rsidRDefault="00FD73FC" w:rsidP="004101BC">
      <w:pPr>
        <w:autoSpaceDE w:val="0"/>
        <w:autoSpaceDN w:val="0"/>
        <w:adjustRightInd w:val="0"/>
        <w:spacing w:after="0" w:line="240" w:lineRule="auto"/>
        <w:rPr>
          <w:rFonts w:cstheme="minorHAnsi"/>
        </w:rPr>
      </w:pPr>
    </w:p>
    <w:p w:rsidR="00BE36D7" w:rsidRPr="002D1E95" w:rsidRDefault="00BE36D7" w:rsidP="00BE36D7">
      <w:pPr>
        <w:autoSpaceDE w:val="0"/>
        <w:autoSpaceDN w:val="0"/>
        <w:adjustRightInd w:val="0"/>
        <w:spacing w:after="0" w:line="240" w:lineRule="auto"/>
        <w:rPr>
          <w:rFonts w:cstheme="minorHAnsi"/>
        </w:rPr>
      </w:pPr>
    </w:p>
    <w:sectPr w:rsidR="00BE36D7" w:rsidRPr="002D1E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307C8"/>
    <w:multiLevelType w:val="hybridMultilevel"/>
    <w:tmpl w:val="88906F0A"/>
    <w:lvl w:ilvl="0" w:tplc="14090001">
      <w:start w:val="1"/>
      <w:numFmt w:val="bullet"/>
      <w:lvlText w:val=""/>
      <w:lvlJc w:val="left"/>
      <w:pPr>
        <w:ind w:left="1080" w:hanging="360"/>
      </w:pPr>
      <w:rPr>
        <w:rFonts w:ascii="Symbol" w:hAnsi="Symbol" w:hint="default"/>
      </w:rPr>
    </w:lvl>
    <w:lvl w:ilvl="1" w:tplc="14090003">
      <w:start w:val="1"/>
      <w:numFmt w:val="bullet"/>
      <w:lvlText w:val="o"/>
      <w:lvlJc w:val="left"/>
      <w:pPr>
        <w:ind w:left="1800" w:hanging="360"/>
      </w:pPr>
      <w:rPr>
        <w:rFonts w:ascii="Courier New" w:hAnsi="Courier New" w:cs="Courier New" w:hint="default"/>
      </w:rPr>
    </w:lvl>
    <w:lvl w:ilvl="2" w:tplc="14090005">
      <w:start w:val="1"/>
      <w:numFmt w:val="bullet"/>
      <w:lvlText w:val=""/>
      <w:lvlJc w:val="left"/>
      <w:pPr>
        <w:ind w:left="2520" w:hanging="360"/>
      </w:pPr>
      <w:rPr>
        <w:rFonts w:ascii="Wingdings" w:hAnsi="Wingdings" w:hint="default"/>
      </w:rPr>
    </w:lvl>
    <w:lvl w:ilvl="3" w:tplc="14090001">
      <w:start w:val="1"/>
      <w:numFmt w:val="bullet"/>
      <w:lvlText w:val=""/>
      <w:lvlJc w:val="left"/>
      <w:pPr>
        <w:ind w:left="3240" w:hanging="360"/>
      </w:pPr>
      <w:rPr>
        <w:rFonts w:ascii="Symbol" w:hAnsi="Symbol" w:hint="default"/>
      </w:rPr>
    </w:lvl>
    <w:lvl w:ilvl="4" w:tplc="14090003">
      <w:start w:val="1"/>
      <w:numFmt w:val="bullet"/>
      <w:lvlText w:val="o"/>
      <w:lvlJc w:val="left"/>
      <w:pPr>
        <w:ind w:left="3960" w:hanging="360"/>
      </w:pPr>
      <w:rPr>
        <w:rFonts w:ascii="Courier New" w:hAnsi="Courier New" w:cs="Courier New" w:hint="default"/>
      </w:rPr>
    </w:lvl>
    <w:lvl w:ilvl="5" w:tplc="14090005">
      <w:start w:val="1"/>
      <w:numFmt w:val="bullet"/>
      <w:lvlText w:val=""/>
      <w:lvlJc w:val="left"/>
      <w:pPr>
        <w:ind w:left="4680" w:hanging="360"/>
      </w:pPr>
      <w:rPr>
        <w:rFonts w:ascii="Wingdings" w:hAnsi="Wingdings" w:hint="default"/>
      </w:rPr>
    </w:lvl>
    <w:lvl w:ilvl="6" w:tplc="14090001">
      <w:start w:val="1"/>
      <w:numFmt w:val="bullet"/>
      <w:lvlText w:val=""/>
      <w:lvlJc w:val="left"/>
      <w:pPr>
        <w:ind w:left="5400" w:hanging="360"/>
      </w:pPr>
      <w:rPr>
        <w:rFonts w:ascii="Symbol" w:hAnsi="Symbol" w:hint="default"/>
      </w:rPr>
    </w:lvl>
    <w:lvl w:ilvl="7" w:tplc="14090003">
      <w:start w:val="1"/>
      <w:numFmt w:val="bullet"/>
      <w:lvlText w:val="o"/>
      <w:lvlJc w:val="left"/>
      <w:pPr>
        <w:ind w:left="6120" w:hanging="360"/>
      </w:pPr>
      <w:rPr>
        <w:rFonts w:ascii="Courier New" w:hAnsi="Courier New" w:cs="Courier New" w:hint="default"/>
      </w:rPr>
    </w:lvl>
    <w:lvl w:ilvl="8" w:tplc="14090005">
      <w:start w:val="1"/>
      <w:numFmt w:val="bullet"/>
      <w:lvlText w:val=""/>
      <w:lvlJc w:val="left"/>
      <w:pPr>
        <w:ind w:left="6840" w:hanging="360"/>
      </w:pPr>
      <w:rPr>
        <w:rFonts w:ascii="Wingdings" w:hAnsi="Wingdings" w:hint="default"/>
      </w:rPr>
    </w:lvl>
  </w:abstractNum>
  <w:abstractNum w:abstractNumId="1">
    <w:nsid w:val="0D7B6C5F"/>
    <w:multiLevelType w:val="hybridMultilevel"/>
    <w:tmpl w:val="91701BF6"/>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nsid w:val="125E4F50"/>
    <w:multiLevelType w:val="hybridMultilevel"/>
    <w:tmpl w:val="CFAC92F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75E1663"/>
    <w:multiLevelType w:val="hybridMultilevel"/>
    <w:tmpl w:val="F52C3E0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4">
    <w:nsid w:val="17B357A9"/>
    <w:multiLevelType w:val="hybridMultilevel"/>
    <w:tmpl w:val="98AC73B6"/>
    <w:lvl w:ilvl="0" w:tplc="14090001">
      <w:start w:val="1"/>
      <w:numFmt w:val="bullet"/>
      <w:lvlText w:val=""/>
      <w:lvlJc w:val="left"/>
      <w:pPr>
        <w:ind w:left="1080" w:hanging="360"/>
      </w:pPr>
      <w:rPr>
        <w:rFonts w:ascii="Symbol" w:hAnsi="Symbol" w:hint="default"/>
      </w:rPr>
    </w:lvl>
    <w:lvl w:ilvl="1" w:tplc="14090003">
      <w:start w:val="1"/>
      <w:numFmt w:val="bullet"/>
      <w:lvlText w:val="o"/>
      <w:lvlJc w:val="left"/>
      <w:pPr>
        <w:ind w:left="1800" w:hanging="360"/>
      </w:pPr>
      <w:rPr>
        <w:rFonts w:ascii="Courier New" w:hAnsi="Courier New" w:cs="Courier New" w:hint="default"/>
      </w:rPr>
    </w:lvl>
    <w:lvl w:ilvl="2" w:tplc="14090005">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5">
    <w:nsid w:val="1AC3678F"/>
    <w:multiLevelType w:val="hybridMultilevel"/>
    <w:tmpl w:val="54829A74"/>
    <w:lvl w:ilvl="0" w:tplc="14090001">
      <w:start w:val="1"/>
      <w:numFmt w:val="bullet"/>
      <w:lvlText w:val=""/>
      <w:lvlJc w:val="left"/>
      <w:pPr>
        <w:ind w:left="1080" w:hanging="360"/>
      </w:pPr>
      <w:rPr>
        <w:rFonts w:ascii="Symbol" w:hAnsi="Symbol" w:hint="default"/>
      </w:rPr>
    </w:lvl>
    <w:lvl w:ilvl="1" w:tplc="14090003">
      <w:start w:val="1"/>
      <w:numFmt w:val="bullet"/>
      <w:lvlText w:val="o"/>
      <w:lvlJc w:val="left"/>
      <w:pPr>
        <w:ind w:left="1800" w:hanging="360"/>
      </w:pPr>
      <w:rPr>
        <w:rFonts w:ascii="Courier New" w:hAnsi="Courier New" w:cs="Courier New" w:hint="default"/>
      </w:rPr>
    </w:lvl>
    <w:lvl w:ilvl="2" w:tplc="14090005">
      <w:start w:val="1"/>
      <w:numFmt w:val="bullet"/>
      <w:lvlText w:val=""/>
      <w:lvlJc w:val="left"/>
      <w:pPr>
        <w:ind w:left="2520" w:hanging="360"/>
      </w:pPr>
      <w:rPr>
        <w:rFonts w:ascii="Wingdings" w:hAnsi="Wingdings" w:hint="default"/>
      </w:rPr>
    </w:lvl>
    <w:lvl w:ilvl="3" w:tplc="14090001">
      <w:start w:val="1"/>
      <w:numFmt w:val="bullet"/>
      <w:lvlText w:val=""/>
      <w:lvlJc w:val="left"/>
      <w:pPr>
        <w:ind w:left="3240" w:hanging="360"/>
      </w:pPr>
      <w:rPr>
        <w:rFonts w:ascii="Symbol" w:hAnsi="Symbol" w:hint="default"/>
      </w:rPr>
    </w:lvl>
    <w:lvl w:ilvl="4" w:tplc="14090003">
      <w:start w:val="1"/>
      <w:numFmt w:val="bullet"/>
      <w:lvlText w:val="o"/>
      <w:lvlJc w:val="left"/>
      <w:pPr>
        <w:ind w:left="3960" w:hanging="360"/>
      </w:pPr>
      <w:rPr>
        <w:rFonts w:ascii="Courier New" w:hAnsi="Courier New" w:cs="Courier New" w:hint="default"/>
      </w:rPr>
    </w:lvl>
    <w:lvl w:ilvl="5" w:tplc="14090005">
      <w:start w:val="1"/>
      <w:numFmt w:val="bullet"/>
      <w:lvlText w:val=""/>
      <w:lvlJc w:val="left"/>
      <w:pPr>
        <w:ind w:left="4680" w:hanging="360"/>
      </w:pPr>
      <w:rPr>
        <w:rFonts w:ascii="Wingdings" w:hAnsi="Wingdings" w:hint="default"/>
      </w:rPr>
    </w:lvl>
    <w:lvl w:ilvl="6" w:tplc="14090001">
      <w:start w:val="1"/>
      <w:numFmt w:val="bullet"/>
      <w:lvlText w:val=""/>
      <w:lvlJc w:val="left"/>
      <w:pPr>
        <w:ind w:left="5400" w:hanging="360"/>
      </w:pPr>
      <w:rPr>
        <w:rFonts w:ascii="Symbol" w:hAnsi="Symbol" w:hint="default"/>
      </w:rPr>
    </w:lvl>
    <w:lvl w:ilvl="7" w:tplc="14090003">
      <w:start w:val="1"/>
      <w:numFmt w:val="bullet"/>
      <w:lvlText w:val="o"/>
      <w:lvlJc w:val="left"/>
      <w:pPr>
        <w:ind w:left="6120" w:hanging="360"/>
      </w:pPr>
      <w:rPr>
        <w:rFonts w:ascii="Courier New" w:hAnsi="Courier New" w:cs="Courier New" w:hint="default"/>
      </w:rPr>
    </w:lvl>
    <w:lvl w:ilvl="8" w:tplc="14090005">
      <w:start w:val="1"/>
      <w:numFmt w:val="bullet"/>
      <w:lvlText w:val=""/>
      <w:lvlJc w:val="left"/>
      <w:pPr>
        <w:ind w:left="6840" w:hanging="360"/>
      </w:pPr>
      <w:rPr>
        <w:rFonts w:ascii="Wingdings" w:hAnsi="Wingdings" w:hint="default"/>
      </w:rPr>
    </w:lvl>
  </w:abstractNum>
  <w:abstractNum w:abstractNumId="6">
    <w:nsid w:val="1DDB0C55"/>
    <w:multiLevelType w:val="hybridMultilevel"/>
    <w:tmpl w:val="A3709832"/>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7">
    <w:nsid w:val="20767B3C"/>
    <w:multiLevelType w:val="hybridMultilevel"/>
    <w:tmpl w:val="EED2851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8">
    <w:nsid w:val="20B27CE7"/>
    <w:multiLevelType w:val="hybridMultilevel"/>
    <w:tmpl w:val="FD961CFA"/>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9">
    <w:nsid w:val="21A02E79"/>
    <w:multiLevelType w:val="hybridMultilevel"/>
    <w:tmpl w:val="080C3632"/>
    <w:lvl w:ilvl="0" w:tplc="14090001">
      <w:start w:val="1"/>
      <w:numFmt w:val="bullet"/>
      <w:lvlText w:val=""/>
      <w:lvlJc w:val="left"/>
      <w:pPr>
        <w:ind w:left="405" w:hanging="360"/>
      </w:pPr>
      <w:rPr>
        <w:rFonts w:ascii="Symbol" w:hAnsi="Symbol" w:hint="default"/>
      </w:rPr>
    </w:lvl>
    <w:lvl w:ilvl="1" w:tplc="14090019">
      <w:start w:val="1"/>
      <w:numFmt w:val="lowerLetter"/>
      <w:lvlText w:val="%2."/>
      <w:lvlJc w:val="left"/>
      <w:pPr>
        <w:ind w:left="1125" w:hanging="360"/>
      </w:pPr>
    </w:lvl>
    <w:lvl w:ilvl="2" w:tplc="1409001B">
      <w:start w:val="1"/>
      <w:numFmt w:val="lowerRoman"/>
      <w:lvlText w:val="%3."/>
      <w:lvlJc w:val="right"/>
      <w:pPr>
        <w:ind w:left="1845" w:hanging="180"/>
      </w:pPr>
    </w:lvl>
    <w:lvl w:ilvl="3" w:tplc="1409000F">
      <w:start w:val="1"/>
      <w:numFmt w:val="decimal"/>
      <w:lvlText w:val="%4."/>
      <w:lvlJc w:val="left"/>
      <w:pPr>
        <w:ind w:left="2565" w:hanging="360"/>
      </w:pPr>
    </w:lvl>
    <w:lvl w:ilvl="4" w:tplc="14090019">
      <w:start w:val="1"/>
      <w:numFmt w:val="lowerLetter"/>
      <w:lvlText w:val="%5."/>
      <w:lvlJc w:val="left"/>
      <w:pPr>
        <w:ind w:left="3285" w:hanging="360"/>
      </w:pPr>
    </w:lvl>
    <w:lvl w:ilvl="5" w:tplc="1409001B">
      <w:start w:val="1"/>
      <w:numFmt w:val="lowerRoman"/>
      <w:lvlText w:val="%6."/>
      <w:lvlJc w:val="right"/>
      <w:pPr>
        <w:ind w:left="4005" w:hanging="180"/>
      </w:pPr>
    </w:lvl>
    <w:lvl w:ilvl="6" w:tplc="1409000F">
      <w:start w:val="1"/>
      <w:numFmt w:val="decimal"/>
      <w:lvlText w:val="%7."/>
      <w:lvlJc w:val="left"/>
      <w:pPr>
        <w:ind w:left="4725" w:hanging="360"/>
      </w:pPr>
    </w:lvl>
    <w:lvl w:ilvl="7" w:tplc="14090019">
      <w:start w:val="1"/>
      <w:numFmt w:val="lowerLetter"/>
      <w:lvlText w:val="%8."/>
      <w:lvlJc w:val="left"/>
      <w:pPr>
        <w:ind w:left="5445" w:hanging="360"/>
      </w:pPr>
    </w:lvl>
    <w:lvl w:ilvl="8" w:tplc="1409001B">
      <w:start w:val="1"/>
      <w:numFmt w:val="lowerRoman"/>
      <w:lvlText w:val="%9."/>
      <w:lvlJc w:val="right"/>
      <w:pPr>
        <w:ind w:left="6165" w:hanging="180"/>
      </w:pPr>
    </w:lvl>
  </w:abstractNum>
  <w:abstractNum w:abstractNumId="10">
    <w:nsid w:val="24062D14"/>
    <w:multiLevelType w:val="hybridMultilevel"/>
    <w:tmpl w:val="12689CF8"/>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1">
    <w:nsid w:val="25590B0B"/>
    <w:multiLevelType w:val="hybridMultilevel"/>
    <w:tmpl w:val="6B982436"/>
    <w:lvl w:ilvl="0" w:tplc="7A70B34C">
      <w:start w:val="1"/>
      <w:numFmt w:val="lowerLetter"/>
      <w:lvlText w:val="(%1)"/>
      <w:lvlJc w:val="left"/>
      <w:pPr>
        <w:ind w:left="1080" w:hanging="360"/>
      </w:pPr>
      <w:rPr>
        <w:rFonts w:hint="default"/>
      </w:rPr>
    </w:lvl>
    <w:lvl w:ilvl="1" w:tplc="AAA87A86">
      <w:start w:val="1"/>
      <w:numFmt w:val="decimal"/>
      <w:lvlText w:val="(%2)"/>
      <w:lvlJc w:val="left"/>
      <w:pPr>
        <w:ind w:left="1830" w:hanging="390"/>
      </w:pPr>
      <w:rPr>
        <w:rFonts w:hint="default"/>
      </w:r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2">
    <w:nsid w:val="25E50A55"/>
    <w:multiLevelType w:val="multilevel"/>
    <w:tmpl w:val="3B7C972C"/>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13">
    <w:nsid w:val="2BE40BC3"/>
    <w:multiLevelType w:val="hybridMultilevel"/>
    <w:tmpl w:val="BA7E23D0"/>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4">
    <w:nsid w:val="36785C3C"/>
    <w:multiLevelType w:val="hybridMultilevel"/>
    <w:tmpl w:val="4EB4BCF2"/>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5">
    <w:nsid w:val="371A2D60"/>
    <w:multiLevelType w:val="hybridMultilevel"/>
    <w:tmpl w:val="D6C04684"/>
    <w:lvl w:ilvl="0" w:tplc="14090001">
      <w:start w:val="1"/>
      <w:numFmt w:val="bullet"/>
      <w:lvlText w:val=""/>
      <w:lvlJc w:val="left"/>
      <w:pPr>
        <w:ind w:left="720" w:hanging="360"/>
      </w:pPr>
      <w:rPr>
        <w:rFonts w:ascii="Symbol" w:hAnsi="Symbol" w:hint="default"/>
      </w:rPr>
    </w:lvl>
    <w:lvl w:ilvl="1" w:tplc="14090003">
      <w:start w:val="1"/>
      <w:numFmt w:val="decimal"/>
      <w:lvlText w:val="%2."/>
      <w:lvlJc w:val="left"/>
      <w:pPr>
        <w:tabs>
          <w:tab w:val="num" w:pos="1440"/>
        </w:tabs>
        <w:ind w:left="1440" w:hanging="360"/>
      </w:pPr>
    </w:lvl>
    <w:lvl w:ilvl="2" w:tplc="14090005">
      <w:start w:val="1"/>
      <w:numFmt w:val="decimal"/>
      <w:lvlText w:val="%3."/>
      <w:lvlJc w:val="left"/>
      <w:pPr>
        <w:tabs>
          <w:tab w:val="num" w:pos="2160"/>
        </w:tabs>
        <w:ind w:left="2160" w:hanging="360"/>
      </w:pPr>
    </w:lvl>
    <w:lvl w:ilvl="3" w:tplc="14090001">
      <w:start w:val="1"/>
      <w:numFmt w:val="decimal"/>
      <w:lvlText w:val="%4."/>
      <w:lvlJc w:val="left"/>
      <w:pPr>
        <w:tabs>
          <w:tab w:val="num" w:pos="2880"/>
        </w:tabs>
        <w:ind w:left="2880" w:hanging="360"/>
      </w:pPr>
    </w:lvl>
    <w:lvl w:ilvl="4" w:tplc="14090003">
      <w:start w:val="1"/>
      <w:numFmt w:val="decimal"/>
      <w:lvlText w:val="%5."/>
      <w:lvlJc w:val="left"/>
      <w:pPr>
        <w:tabs>
          <w:tab w:val="num" w:pos="3600"/>
        </w:tabs>
        <w:ind w:left="3600" w:hanging="360"/>
      </w:pPr>
    </w:lvl>
    <w:lvl w:ilvl="5" w:tplc="14090005">
      <w:start w:val="1"/>
      <w:numFmt w:val="decimal"/>
      <w:lvlText w:val="%6."/>
      <w:lvlJc w:val="left"/>
      <w:pPr>
        <w:tabs>
          <w:tab w:val="num" w:pos="4320"/>
        </w:tabs>
        <w:ind w:left="4320" w:hanging="360"/>
      </w:pPr>
    </w:lvl>
    <w:lvl w:ilvl="6" w:tplc="14090001">
      <w:start w:val="1"/>
      <w:numFmt w:val="decimal"/>
      <w:lvlText w:val="%7."/>
      <w:lvlJc w:val="left"/>
      <w:pPr>
        <w:tabs>
          <w:tab w:val="num" w:pos="5040"/>
        </w:tabs>
        <w:ind w:left="5040" w:hanging="360"/>
      </w:pPr>
    </w:lvl>
    <w:lvl w:ilvl="7" w:tplc="14090003">
      <w:start w:val="1"/>
      <w:numFmt w:val="decimal"/>
      <w:lvlText w:val="%8."/>
      <w:lvlJc w:val="left"/>
      <w:pPr>
        <w:tabs>
          <w:tab w:val="num" w:pos="5760"/>
        </w:tabs>
        <w:ind w:left="5760" w:hanging="360"/>
      </w:pPr>
    </w:lvl>
    <w:lvl w:ilvl="8" w:tplc="14090005">
      <w:start w:val="1"/>
      <w:numFmt w:val="decimal"/>
      <w:lvlText w:val="%9."/>
      <w:lvlJc w:val="left"/>
      <w:pPr>
        <w:tabs>
          <w:tab w:val="num" w:pos="6480"/>
        </w:tabs>
        <w:ind w:left="6480" w:hanging="360"/>
      </w:pPr>
    </w:lvl>
  </w:abstractNum>
  <w:abstractNum w:abstractNumId="16">
    <w:nsid w:val="3783557C"/>
    <w:multiLevelType w:val="hybridMultilevel"/>
    <w:tmpl w:val="AE8480EA"/>
    <w:lvl w:ilvl="0" w:tplc="1409000F">
      <w:start w:val="1"/>
      <w:numFmt w:val="decimal"/>
      <w:lvlText w:val="%1."/>
      <w:lvlJc w:val="left"/>
      <w:pPr>
        <w:ind w:left="360" w:hanging="360"/>
      </w:pPr>
      <w:rPr>
        <w:b w:val="0"/>
      </w:rPr>
    </w:lvl>
    <w:lvl w:ilvl="1" w:tplc="ED3CD752">
      <w:start w:val="16"/>
      <w:numFmt w:val="bullet"/>
      <w:lvlText w:val=""/>
      <w:lvlJc w:val="left"/>
      <w:pPr>
        <w:ind w:left="1080" w:hanging="360"/>
      </w:pPr>
      <w:rPr>
        <w:rFonts w:ascii="Symbol" w:eastAsia="Times New Roman" w:hAnsi="Symbol" w:cs="Arial" w:hint="default"/>
      </w:rPr>
    </w:lvl>
    <w:lvl w:ilvl="2" w:tplc="1409001B">
      <w:start w:val="1"/>
      <w:numFmt w:val="lowerRoman"/>
      <w:lvlText w:val="%3."/>
      <w:lvlJc w:val="right"/>
      <w:pPr>
        <w:ind w:left="1800" w:hanging="180"/>
      </w:pPr>
    </w:lvl>
    <w:lvl w:ilvl="3" w:tplc="1409000F">
      <w:start w:val="1"/>
      <w:numFmt w:val="decimal"/>
      <w:lvlText w:val="%4."/>
      <w:lvlJc w:val="left"/>
      <w:pPr>
        <w:ind w:left="2520" w:hanging="360"/>
      </w:pPr>
    </w:lvl>
    <w:lvl w:ilvl="4" w:tplc="14090019">
      <w:start w:val="1"/>
      <w:numFmt w:val="lowerLetter"/>
      <w:lvlText w:val="%5."/>
      <w:lvlJc w:val="left"/>
      <w:pPr>
        <w:ind w:left="3240" w:hanging="360"/>
      </w:pPr>
    </w:lvl>
    <w:lvl w:ilvl="5" w:tplc="1409001B">
      <w:start w:val="1"/>
      <w:numFmt w:val="lowerRoman"/>
      <w:lvlText w:val="%6."/>
      <w:lvlJc w:val="right"/>
      <w:pPr>
        <w:ind w:left="3960" w:hanging="180"/>
      </w:pPr>
    </w:lvl>
    <w:lvl w:ilvl="6" w:tplc="1409000F">
      <w:start w:val="1"/>
      <w:numFmt w:val="decimal"/>
      <w:lvlText w:val="%7."/>
      <w:lvlJc w:val="left"/>
      <w:pPr>
        <w:ind w:left="4680" w:hanging="360"/>
      </w:pPr>
    </w:lvl>
    <w:lvl w:ilvl="7" w:tplc="14090019">
      <w:start w:val="1"/>
      <w:numFmt w:val="lowerLetter"/>
      <w:lvlText w:val="%8."/>
      <w:lvlJc w:val="left"/>
      <w:pPr>
        <w:ind w:left="5400" w:hanging="360"/>
      </w:pPr>
    </w:lvl>
    <w:lvl w:ilvl="8" w:tplc="1409001B">
      <w:start w:val="1"/>
      <w:numFmt w:val="lowerRoman"/>
      <w:lvlText w:val="%9."/>
      <w:lvlJc w:val="right"/>
      <w:pPr>
        <w:ind w:left="6120" w:hanging="180"/>
      </w:pPr>
    </w:lvl>
  </w:abstractNum>
  <w:abstractNum w:abstractNumId="17">
    <w:nsid w:val="38723805"/>
    <w:multiLevelType w:val="hybridMultilevel"/>
    <w:tmpl w:val="9FEA3FC0"/>
    <w:lvl w:ilvl="0" w:tplc="27D0A13A">
      <w:start w:val="1"/>
      <w:numFmt w:val="lowerLetter"/>
      <w:lvlText w:val="(%1)"/>
      <w:lvlJc w:val="left"/>
      <w:pPr>
        <w:ind w:left="405" w:hanging="360"/>
      </w:pPr>
    </w:lvl>
    <w:lvl w:ilvl="1" w:tplc="14090019">
      <w:start w:val="1"/>
      <w:numFmt w:val="lowerLetter"/>
      <w:lvlText w:val="%2."/>
      <w:lvlJc w:val="left"/>
      <w:pPr>
        <w:ind w:left="1125" w:hanging="360"/>
      </w:pPr>
    </w:lvl>
    <w:lvl w:ilvl="2" w:tplc="1409001B">
      <w:start w:val="1"/>
      <w:numFmt w:val="lowerRoman"/>
      <w:lvlText w:val="%3."/>
      <w:lvlJc w:val="right"/>
      <w:pPr>
        <w:ind w:left="1845" w:hanging="180"/>
      </w:pPr>
    </w:lvl>
    <w:lvl w:ilvl="3" w:tplc="1409000F">
      <w:start w:val="1"/>
      <w:numFmt w:val="decimal"/>
      <w:lvlText w:val="%4."/>
      <w:lvlJc w:val="left"/>
      <w:pPr>
        <w:ind w:left="2565" w:hanging="360"/>
      </w:pPr>
    </w:lvl>
    <w:lvl w:ilvl="4" w:tplc="14090019">
      <w:start w:val="1"/>
      <w:numFmt w:val="lowerLetter"/>
      <w:lvlText w:val="%5."/>
      <w:lvlJc w:val="left"/>
      <w:pPr>
        <w:ind w:left="3285" w:hanging="360"/>
      </w:pPr>
    </w:lvl>
    <w:lvl w:ilvl="5" w:tplc="1409001B">
      <w:start w:val="1"/>
      <w:numFmt w:val="lowerRoman"/>
      <w:lvlText w:val="%6."/>
      <w:lvlJc w:val="right"/>
      <w:pPr>
        <w:ind w:left="4005" w:hanging="180"/>
      </w:pPr>
    </w:lvl>
    <w:lvl w:ilvl="6" w:tplc="1409000F">
      <w:start w:val="1"/>
      <w:numFmt w:val="decimal"/>
      <w:lvlText w:val="%7."/>
      <w:lvlJc w:val="left"/>
      <w:pPr>
        <w:ind w:left="4725" w:hanging="360"/>
      </w:pPr>
    </w:lvl>
    <w:lvl w:ilvl="7" w:tplc="14090019">
      <w:start w:val="1"/>
      <w:numFmt w:val="lowerLetter"/>
      <w:lvlText w:val="%8."/>
      <w:lvlJc w:val="left"/>
      <w:pPr>
        <w:ind w:left="5445" w:hanging="360"/>
      </w:pPr>
    </w:lvl>
    <w:lvl w:ilvl="8" w:tplc="1409001B">
      <w:start w:val="1"/>
      <w:numFmt w:val="lowerRoman"/>
      <w:lvlText w:val="%9."/>
      <w:lvlJc w:val="right"/>
      <w:pPr>
        <w:ind w:left="6165" w:hanging="180"/>
      </w:pPr>
    </w:lvl>
  </w:abstractNum>
  <w:abstractNum w:abstractNumId="18">
    <w:nsid w:val="3BE209F4"/>
    <w:multiLevelType w:val="multilevel"/>
    <w:tmpl w:val="E92E5190"/>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19">
    <w:nsid w:val="43E03307"/>
    <w:multiLevelType w:val="hybridMultilevel"/>
    <w:tmpl w:val="A3789CB2"/>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0">
    <w:nsid w:val="44814959"/>
    <w:multiLevelType w:val="hybridMultilevel"/>
    <w:tmpl w:val="1EEC958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1">
    <w:nsid w:val="58811302"/>
    <w:multiLevelType w:val="hybridMultilevel"/>
    <w:tmpl w:val="DDD4BFC0"/>
    <w:lvl w:ilvl="0" w:tplc="14090001">
      <w:start w:val="1"/>
      <w:numFmt w:val="bullet"/>
      <w:lvlText w:val=""/>
      <w:lvlJc w:val="left"/>
      <w:pPr>
        <w:ind w:left="1080" w:hanging="360"/>
      </w:pPr>
      <w:rPr>
        <w:rFonts w:ascii="Symbol" w:hAnsi="Symbol" w:hint="default"/>
      </w:rPr>
    </w:lvl>
    <w:lvl w:ilvl="1" w:tplc="14090003">
      <w:start w:val="1"/>
      <w:numFmt w:val="bullet"/>
      <w:lvlText w:val="o"/>
      <w:lvlJc w:val="left"/>
      <w:pPr>
        <w:ind w:left="1800" w:hanging="360"/>
      </w:pPr>
      <w:rPr>
        <w:rFonts w:ascii="Courier New" w:hAnsi="Courier New" w:cs="Courier New" w:hint="default"/>
      </w:rPr>
    </w:lvl>
    <w:lvl w:ilvl="2" w:tplc="14090005">
      <w:start w:val="1"/>
      <w:numFmt w:val="bullet"/>
      <w:lvlText w:val=""/>
      <w:lvlJc w:val="left"/>
      <w:pPr>
        <w:ind w:left="2520" w:hanging="360"/>
      </w:pPr>
      <w:rPr>
        <w:rFonts w:ascii="Wingdings" w:hAnsi="Wingdings" w:hint="default"/>
      </w:rPr>
    </w:lvl>
    <w:lvl w:ilvl="3" w:tplc="14090001">
      <w:start w:val="1"/>
      <w:numFmt w:val="bullet"/>
      <w:lvlText w:val=""/>
      <w:lvlJc w:val="left"/>
      <w:pPr>
        <w:ind w:left="3240" w:hanging="360"/>
      </w:pPr>
      <w:rPr>
        <w:rFonts w:ascii="Symbol" w:hAnsi="Symbol" w:hint="default"/>
      </w:rPr>
    </w:lvl>
    <w:lvl w:ilvl="4" w:tplc="14090003">
      <w:start w:val="1"/>
      <w:numFmt w:val="bullet"/>
      <w:lvlText w:val="o"/>
      <w:lvlJc w:val="left"/>
      <w:pPr>
        <w:ind w:left="3960" w:hanging="360"/>
      </w:pPr>
      <w:rPr>
        <w:rFonts w:ascii="Courier New" w:hAnsi="Courier New" w:cs="Courier New" w:hint="default"/>
      </w:rPr>
    </w:lvl>
    <w:lvl w:ilvl="5" w:tplc="14090005">
      <w:start w:val="1"/>
      <w:numFmt w:val="bullet"/>
      <w:lvlText w:val=""/>
      <w:lvlJc w:val="left"/>
      <w:pPr>
        <w:ind w:left="4680" w:hanging="360"/>
      </w:pPr>
      <w:rPr>
        <w:rFonts w:ascii="Wingdings" w:hAnsi="Wingdings" w:hint="default"/>
      </w:rPr>
    </w:lvl>
    <w:lvl w:ilvl="6" w:tplc="14090001">
      <w:start w:val="1"/>
      <w:numFmt w:val="bullet"/>
      <w:lvlText w:val=""/>
      <w:lvlJc w:val="left"/>
      <w:pPr>
        <w:ind w:left="5400" w:hanging="360"/>
      </w:pPr>
      <w:rPr>
        <w:rFonts w:ascii="Symbol" w:hAnsi="Symbol" w:hint="default"/>
      </w:rPr>
    </w:lvl>
    <w:lvl w:ilvl="7" w:tplc="14090003">
      <w:start w:val="1"/>
      <w:numFmt w:val="bullet"/>
      <w:lvlText w:val="o"/>
      <w:lvlJc w:val="left"/>
      <w:pPr>
        <w:ind w:left="6120" w:hanging="360"/>
      </w:pPr>
      <w:rPr>
        <w:rFonts w:ascii="Courier New" w:hAnsi="Courier New" w:cs="Courier New" w:hint="default"/>
      </w:rPr>
    </w:lvl>
    <w:lvl w:ilvl="8" w:tplc="14090005">
      <w:start w:val="1"/>
      <w:numFmt w:val="bullet"/>
      <w:lvlText w:val=""/>
      <w:lvlJc w:val="left"/>
      <w:pPr>
        <w:ind w:left="6840" w:hanging="360"/>
      </w:pPr>
      <w:rPr>
        <w:rFonts w:ascii="Wingdings" w:hAnsi="Wingdings" w:hint="default"/>
      </w:rPr>
    </w:lvl>
  </w:abstractNum>
  <w:abstractNum w:abstractNumId="22">
    <w:nsid w:val="5F3F4FB9"/>
    <w:multiLevelType w:val="hybridMultilevel"/>
    <w:tmpl w:val="5470C868"/>
    <w:lvl w:ilvl="0" w:tplc="14090001">
      <w:start w:val="1"/>
      <w:numFmt w:val="bullet"/>
      <w:lvlText w:val=""/>
      <w:lvlJc w:val="left"/>
      <w:pPr>
        <w:ind w:left="1080" w:hanging="360"/>
      </w:pPr>
      <w:rPr>
        <w:rFonts w:ascii="Symbol" w:hAnsi="Symbol" w:hint="default"/>
      </w:rPr>
    </w:lvl>
    <w:lvl w:ilvl="1" w:tplc="14090003">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3">
    <w:nsid w:val="605C01A5"/>
    <w:multiLevelType w:val="hybridMultilevel"/>
    <w:tmpl w:val="69FA297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4">
    <w:nsid w:val="628B3C64"/>
    <w:multiLevelType w:val="hybridMultilevel"/>
    <w:tmpl w:val="0EBEDD2A"/>
    <w:lvl w:ilvl="0" w:tplc="14090001">
      <w:start w:val="1"/>
      <w:numFmt w:val="bullet"/>
      <w:lvlText w:val=""/>
      <w:lvlJc w:val="left"/>
      <w:pPr>
        <w:ind w:left="1440" w:hanging="360"/>
      </w:pPr>
      <w:rPr>
        <w:rFonts w:ascii="Symbol" w:hAnsi="Symbol" w:hint="default"/>
      </w:rPr>
    </w:lvl>
    <w:lvl w:ilvl="1" w:tplc="14090001">
      <w:start w:val="1"/>
      <w:numFmt w:val="bullet"/>
      <w:lvlText w:val=""/>
      <w:lvlJc w:val="left"/>
      <w:pPr>
        <w:ind w:left="2160" w:hanging="360"/>
      </w:pPr>
      <w:rPr>
        <w:rFonts w:ascii="Symbol" w:hAnsi="Symbol"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5">
    <w:nsid w:val="64F31884"/>
    <w:multiLevelType w:val="hybridMultilevel"/>
    <w:tmpl w:val="70108DA0"/>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6">
    <w:nsid w:val="660E6CE0"/>
    <w:multiLevelType w:val="hybridMultilevel"/>
    <w:tmpl w:val="3FB42602"/>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7">
    <w:nsid w:val="753A0F35"/>
    <w:multiLevelType w:val="hybridMultilevel"/>
    <w:tmpl w:val="1A6E485E"/>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num w:numId="1">
    <w:abstractNumId w:val="4"/>
  </w:num>
  <w:num w:numId="2">
    <w:abstractNumId w:val="14"/>
  </w:num>
  <w:num w:numId="3">
    <w:abstractNumId w:val="1"/>
  </w:num>
  <w:num w:numId="4">
    <w:abstractNumId w:val="8"/>
  </w:num>
  <w:num w:numId="5">
    <w:abstractNumId w:val="22"/>
  </w:num>
  <w:num w:numId="6">
    <w:abstractNumId w:val="20"/>
  </w:num>
  <w:num w:numId="7">
    <w:abstractNumId w:val="25"/>
  </w:num>
  <w:num w:numId="8">
    <w:abstractNumId w:val="26"/>
  </w:num>
  <w:num w:numId="9">
    <w:abstractNumId w:val="6"/>
  </w:num>
  <w:num w:numId="10">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5"/>
  </w:num>
  <w:num w:numId="13">
    <w:abstractNumId w:val="19"/>
  </w:num>
  <w:num w:numId="14">
    <w:abstractNumId w:val="21"/>
  </w:num>
  <w:num w:numId="15">
    <w:abstractNumId w:val="11"/>
  </w:num>
  <w:num w:numId="16">
    <w:abstractNumId w:val="24"/>
  </w:num>
  <w:num w:numId="17">
    <w:abstractNumId w:val="3"/>
  </w:num>
  <w:num w:numId="18">
    <w:abstractNumId w:val="18"/>
  </w:num>
  <w:num w:numId="19">
    <w:abstractNumId w:val="7"/>
  </w:num>
  <w:num w:numId="20">
    <w:abstractNumId w:val="2"/>
  </w:num>
  <w:num w:numId="21">
    <w:abstractNumId w:val="10"/>
  </w:num>
  <w:num w:numId="22">
    <w:abstractNumId w:val="27"/>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3"/>
  </w:num>
  <w:num w:numId="26">
    <w:abstractNumId w:val="23"/>
  </w:num>
  <w:num w:numId="27">
    <w:abstractNumId w:val="17"/>
  </w:num>
  <w:num w:numId="28">
    <w:abstractNumId w:val="9"/>
  </w:num>
  <w:num w:numId="2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49B"/>
    <w:rsid w:val="00006002"/>
    <w:rsid w:val="0001331F"/>
    <w:rsid w:val="00013939"/>
    <w:rsid w:val="00024A8D"/>
    <w:rsid w:val="000301B1"/>
    <w:rsid w:val="00034CF4"/>
    <w:rsid w:val="00037CDB"/>
    <w:rsid w:val="00040ED1"/>
    <w:rsid w:val="00044B8A"/>
    <w:rsid w:val="00051294"/>
    <w:rsid w:val="000545EB"/>
    <w:rsid w:val="00076F54"/>
    <w:rsid w:val="000959D8"/>
    <w:rsid w:val="00096065"/>
    <w:rsid w:val="000A63CE"/>
    <w:rsid w:val="000C0936"/>
    <w:rsid w:val="000C419C"/>
    <w:rsid w:val="000C58F9"/>
    <w:rsid w:val="000C6B24"/>
    <w:rsid w:val="000E6A4A"/>
    <w:rsid w:val="000F4B8F"/>
    <w:rsid w:val="0010408B"/>
    <w:rsid w:val="001050B9"/>
    <w:rsid w:val="001053C7"/>
    <w:rsid w:val="00110F09"/>
    <w:rsid w:val="0011256D"/>
    <w:rsid w:val="0014107A"/>
    <w:rsid w:val="00143B6D"/>
    <w:rsid w:val="00153013"/>
    <w:rsid w:val="00153601"/>
    <w:rsid w:val="00163B33"/>
    <w:rsid w:val="00166E3E"/>
    <w:rsid w:val="00171D07"/>
    <w:rsid w:val="00172E1F"/>
    <w:rsid w:val="00176811"/>
    <w:rsid w:val="00177A97"/>
    <w:rsid w:val="00177AEE"/>
    <w:rsid w:val="001840A0"/>
    <w:rsid w:val="0018444D"/>
    <w:rsid w:val="00194767"/>
    <w:rsid w:val="001A143B"/>
    <w:rsid w:val="001B0788"/>
    <w:rsid w:val="001F54DA"/>
    <w:rsid w:val="00217A67"/>
    <w:rsid w:val="00220EFB"/>
    <w:rsid w:val="002241F6"/>
    <w:rsid w:val="002316C1"/>
    <w:rsid w:val="00233B7A"/>
    <w:rsid w:val="00240464"/>
    <w:rsid w:val="002450E5"/>
    <w:rsid w:val="00262687"/>
    <w:rsid w:val="0026270C"/>
    <w:rsid w:val="00263C5E"/>
    <w:rsid w:val="0027348C"/>
    <w:rsid w:val="00274291"/>
    <w:rsid w:val="002746D6"/>
    <w:rsid w:val="00276226"/>
    <w:rsid w:val="00280CA7"/>
    <w:rsid w:val="00294070"/>
    <w:rsid w:val="00294252"/>
    <w:rsid w:val="00294E1A"/>
    <w:rsid w:val="00295A67"/>
    <w:rsid w:val="002A3DDF"/>
    <w:rsid w:val="002A587F"/>
    <w:rsid w:val="002B0413"/>
    <w:rsid w:val="002C5F3B"/>
    <w:rsid w:val="002C6A6E"/>
    <w:rsid w:val="002D1E95"/>
    <w:rsid w:val="002E0D0E"/>
    <w:rsid w:val="002E2575"/>
    <w:rsid w:val="002E610B"/>
    <w:rsid w:val="002F4ADA"/>
    <w:rsid w:val="0030035C"/>
    <w:rsid w:val="00302F7F"/>
    <w:rsid w:val="00307A37"/>
    <w:rsid w:val="0031221C"/>
    <w:rsid w:val="003131B3"/>
    <w:rsid w:val="00317DB8"/>
    <w:rsid w:val="00323563"/>
    <w:rsid w:val="00323F5E"/>
    <w:rsid w:val="00326988"/>
    <w:rsid w:val="00330D5E"/>
    <w:rsid w:val="00330E5A"/>
    <w:rsid w:val="00340D39"/>
    <w:rsid w:val="00342D70"/>
    <w:rsid w:val="00351662"/>
    <w:rsid w:val="003518C0"/>
    <w:rsid w:val="0035418D"/>
    <w:rsid w:val="00365B54"/>
    <w:rsid w:val="0037201D"/>
    <w:rsid w:val="0037461F"/>
    <w:rsid w:val="003866C7"/>
    <w:rsid w:val="00386E2C"/>
    <w:rsid w:val="00392F2A"/>
    <w:rsid w:val="00393089"/>
    <w:rsid w:val="00397E5B"/>
    <w:rsid w:val="003A19C3"/>
    <w:rsid w:val="003A535E"/>
    <w:rsid w:val="003B5416"/>
    <w:rsid w:val="003C086D"/>
    <w:rsid w:val="003D3AC6"/>
    <w:rsid w:val="003D61BF"/>
    <w:rsid w:val="003F3194"/>
    <w:rsid w:val="003F7005"/>
    <w:rsid w:val="00402D33"/>
    <w:rsid w:val="00404A4B"/>
    <w:rsid w:val="004101BC"/>
    <w:rsid w:val="004418BB"/>
    <w:rsid w:val="00443908"/>
    <w:rsid w:val="004677E8"/>
    <w:rsid w:val="004716AA"/>
    <w:rsid w:val="00472C9D"/>
    <w:rsid w:val="0048531B"/>
    <w:rsid w:val="004855C6"/>
    <w:rsid w:val="004857E5"/>
    <w:rsid w:val="004870C9"/>
    <w:rsid w:val="00490511"/>
    <w:rsid w:val="004A3D18"/>
    <w:rsid w:val="004A4BA3"/>
    <w:rsid w:val="004B6659"/>
    <w:rsid w:val="004C5A81"/>
    <w:rsid w:val="004D30B5"/>
    <w:rsid w:val="004D638C"/>
    <w:rsid w:val="004D7151"/>
    <w:rsid w:val="004E072A"/>
    <w:rsid w:val="004F093A"/>
    <w:rsid w:val="004F54CE"/>
    <w:rsid w:val="00503707"/>
    <w:rsid w:val="005062A2"/>
    <w:rsid w:val="00507B88"/>
    <w:rsid w:val="00521AE8"/>
    <w:rsid w:val="00522A2B"/>
    <w:rsid w:val="00526642"/>
    <w:rsid w:val="005300C4"/>
    <w:rsid w:val="00542765"/>
    <w:rsid w:val="0054321A"/>
    <w:rsid w:val="00552735"/>
    <w:rsid w:val="00557292"/>
    <w:rsid w:val="0058022D"/>
    <w:rsid w:val="005805E4"/>
    <w:rsid w:val="00581B49"/>
    <w:rsid w:val="005865B7"/>
    <w:rsid w:val="005942A5"/>
    <w:rsid w:val="0059605D"/>
    <w:rsid w:val="00597944"/>
    <w:rsid w:val="005B3CEB"/>
    <w:rsid w:val="005C1D15"/>
    <w:rsid w:val="005C4FD8"/>
    <w:rsid w:val="005C5629"/>
    <w:rsid w:val="005D1594"/>
    <w:rsid w:val="005D174B"/>
    <w:rsid w:val="005D239D"/>
    <w:rsid w:val="005D64C5"/>
    <w:rsid w:val="005F494A"/>
    <w:rsid w:val="005F73FB"/>
    <w:rsid w:val="005F7899"/>
    <w:rsid w:val="0060579A"/>
    <w:rsid w:val="00605992"/>
    <w:rsid w:val="006105FA"/>
    <w:rsid w:val="006355D8"/>
    <w:rsid w:val="006359A7"/>
    <w:rsid w:val="00637C86"/>
    <w:rsid w:val="0064201A"/>
    <w:rsid w:val="006447E6"/>
    <w:rsid w:val="00651F0D"/>
    <w:rsid w:val="00671A15"/>
    <w:rsid w:val="00683F16"/>
    <w:rsid w:val="006A30EA"/>
    <w:rsid w:val="006B0C1E"/>
    <w:rsid w:val="006B2DF0"/>
    <w:rsid w:val="006B7C54"/>
    <w:rsid w:val="006C09EC"/>
    <w:rsid w:val="006C481A"/>
    <w:rsid w:val="006D017B"/>
    <w:rsid w:val="006D0A92"/>
    <w:rsid w:val="006D1E74"/>
    <w:rsid w:val="006E5A36"/>
    <w:rsid w:val="006F3823"/>
    <w:rsid w:val="00716685"/>
    <w:rsid w:val="007204DD"/>
    <w:rsid w:val="00721691"/>
    <w:rsid w:val="00732AEB"/>
    <w:rsid w:val="00734459"/>
    <w:rsid w:val="00736731"/>
    <w:rsid w:val="0074356F"/>
    <w:rsid w:val="00756D8C"/>
    <w:rsid w:val="00757ADA"/>
    <w:rsid w:val="00762A03"/>
    <w:rsid w:val="00766BE0"/>
    <w:rsid w:val="007720D7"/>
    <w:rsid w:val="00781736"/>
    <w:rsid w:val="00782439"/>
    <w:rsid w:val="00782CF3"/>
    <w:rsid w:val="00793C3C"/>
    <w:rsid w:val="007A66BB"/>
    <w:rsid w:val="007A78B3"/>
    <w:rsid w:val="007B031E"/>
    <w:rsid w:val="007B0442"/>
    <w:rsid w:val="007B0675"/>
    <w:rsid w:val="007B661A"/>
    <w:rsid w:val="007D40C1"/>
    <w:rsid w:val="007E066F"/>
    <w:rsid w:val="007E137C"/>
    <w:rsid w:val="007E1A82"/>
    <w:rsid w:val="007E4520"/>
    <w:rsid w:val="007F78FD"/>
    <w:rsid w:val="008006DC"/>
    <w:rsid w:val="00801CDA"/>
    <w:rsid w:val="00805DAB"/>
    <w:rsid w:val="0081710F"/>
    <w:rsid w:val="008371A7"/>
    <w:rsid w:val="00837985"/>
    <w:rsid w:val="008546EA"/>
    <w:rsid w:val="00877F22"/>
    <w:rsid w:val="00880AE4"/>
    <w:rsid w:val="008A061A"/>
    <w:rsid w:val="008A468B"/>
    <w:rsid w:val="008C35A7"/>
    <w:rsid w:val="008C412F"/>
    <w:rsid w:val="008D0224"/>
    <w:rsid w:val="008E5D0C"/>
    <w:rsid w:val="008E6FEB"/>
    <w:rsid w:val="008F21C6"/>
    <w:rsid w:val="008F6147"/>
    <w:rsid w:val="008F7E58"/>
    <w:rsid w:val="00900C5B"/>
    <w:rsid w:val="0090381A"/>
    <w:rsid w:val="0090558A"/>
    <w:rsid w:val="009114D2"/>
    <w:rsid w:val="009238EB"/>
    <w:rsid w:val="00931F6D"/>
    <w:rsid w:val="009356E6"/>
    <w:rsid w:val="0094002C"/>
    <w:rsid w:val="009417AC"/>
    <w:rsid w:val="00941897"/>
    <w:rsid w:val="00943231"/>
    <w:rsid w:val="0095504C"/>
    <w:rsid w:val="009564AB"/>
    <w:rsid w:val="009567A2"/>
    <w:rsid w:val="00956B27"/>
    <w:rsid w:val="009815CC"/>
    <w:rsid w:val="00981DE0"/>
    <w:rsid w:val="0098277C"/>
    <w:rsid w:val="00993FA1"/>
    <w:rsid w:val="009A043B"/>
    <w:rsid w:val="009A3183"/>
    <w:rsid w:val="009B352B"/>
    <w:rsid w:val="009C02B2"/>
    <w:rsid w:val="009C111A"/>
    <w:rsid w:val="009C3996"/>
    <w:rsid w:val="009D0A5B"/>
    <w:rsid w:val="009D6C0D"/>
    <w:rsid w:val="009E276D"/>
    <w:rsid w:val="009F3DE8"/>
    <w:rsid w:val="00A104C9"/>
    <w:rsid w:val="00A2097C"/>
    <w:rsid w:val="00A301FA"/>
    <w:rsid w:val="00A31D1F"/>
    <w:rsid w:val="00A34C78"/>
    <w:rsid w:val="00A4719A"/>
    <w:rsid w:val="00A57B5B"/>
    <w:rsid w:val="00A730E8"/>
    <w:rsid w:val="00A7629D"/>
    <w:rsid w:val="00A8699B"/>
    <w:rsid w:val="00A91421"/>
    <w:rsid w:val="00A92FF6"/>
    <w:rsid w:val="00A95B17"/>
    <w:rsid w:val="00AA60C6"/>
    <w:rsid w:val="00AA7B4A"/>
    <w:rsid w:val="00AB5EC3"/>
    <w:rsid w:val="00AC2E15"/>
    <w:rsid w:val="00AD06E0"/>
    <w:rsid w:val="00AD2DCB"/>
    <w:rsid w:val="00AD4998"/>
    <w:rsid w:val="00AD65BD"/>
    <w:rsid w:val="00AD6E00"/>
    <w:rsid w:val="00AD7C9C"/>
    <w:rsid w:val="00AE5B5E"/>
    <w:rsid w:val="00AF12A8"/>
    <w:rsid w:val="00B027CD"/>
    <w:rsid w:val="00B07081"/>
    <w:rsid w:val="00B156E4"/>
    <w:rsid w:val="00B174E4"/>
    <w:rsid w:val="00B20691"/>
    <w:rsid w:val="00B35759"/>
    <w:rsid w:val="00B368E5"/>
    <w:rsid w:val="00B619A3"/>
    <w:rsid w:val="00B63D55"/>
    <w:rsid w:val="00B64BD5"/>
    <w:rsid w:val="00B703A6"/>
    <w:rsid w:val="00B9159B"/>
    <w:rsid w:val="00B94598"/>
    <w:rsid w:val="00B94D16"/>
    <w:rsid w:val="00B96302"/>
    <w:rsid w:val="00B968DF"/>
    <w:rsid w:val="00BA21EE"/>
    <w:rsid w:val="00BA6591"/>
    <w:rsid w:val="00BB31C0"/>
    <w:rsid w:val="00BB34AF"/>
    <w:rsid w:val="00BB5929"/>
    <w:rsid w:val="00BC0682"/>
    <w:rsid w:val="00BC4B16"/>
    <w:rsid w:val="00BC5021"/>
    <w:rsid w:val="00BD25CB"/>
    <w:rsid w:val="00BD318A"/>
    <w:rsid w:val="00BD4FEF"/>
    <w:rsid w:val="00BE0125"/>
    <w:rsid w:val="00BE15A6"/>
    <w:rsid w:val="00BE2339"/>
    <w:rsid w:val="00BE36D7"/>
    <w:rsid w:val="00BE5E7E"/>
    <w:rsid w:val="00BF0954"/>
    <w:rsid w:val="00BF1222"/>
    <w:rsid w:val="00BF7D42"/>
    <w:rsid w:val="00C02B7C"/>
    <w:rsid w:val="00C051E5"/>
    <w:rsid w:val="00C201F2"/>
    <w:rsid w:val="00C76FBF"/>
    <w:rsid w:val="00C807C3"/>
    <w:rsid w:val="00C86FF4"/>
    <w:rsid w:val="00CA3A18"/>
    <w:rsid w:val="00CD7718"/>
    <w:rsid w:val="00CE16AE"/>
    <w:rsid w:val="00CE41BF"/>
    <w:rsid w:val="00CE53D1"/>
    <w:rsid w:val="00CF1356"/>
    <w:rsid w:val="00CF549B"/>
    <w:rsid w:val="00D120CA"/>
    <w:rsid w:val="00D1302D"/>
    <w:rsid w:val="00D21786"/>
    <w:rsid w:val="00D455CD"/>
    <w:rsid w:val="00D46129"/>
    <w:rsid w:val="00D5400E"/>
    <w:rsid w:val="00D5562C"/>
    <w:rsid w:val="00D56A52"/>
    <w:rsid w:val="00D70B68"/>
    <w:rsid w:val="00D73799"/>
    <w:rsid w:val="00D80D5E"/>
    <w:rsid w:val="00D80DBA"/>
    <w:rsid w:val="00D849A2"/>
    <w:rsid w:val="00D924F4"/>
    <w:rsid w:val="00DA6F42"/>
    <w:rsid w:val="00DB556F"/>
    <w:rsid w:val="00DE2608"/>
    <w:rsid w:val="00E07228"/>
    <w:rsid w:val="00E10FBE"/>
    <w:rsid w:val="00E1121A"/>
    <w:rsid w:val="00E2561B"/>
    <w:rsid w:val="00E3217F"/>
    <w:rsid w:val="00E348A2"/>
    <w:rsid w:val="00E457D3"/>
    <w:rsid w:val="00E5267A"/>
    <w:rsid w:val="00E53446"/>
    <w:rsid w:val="00E624D3"/>
    <w:rsid w:val="00E6414B"/>
    <w:rsid w:val="00E82C68"/>
    <w:rsid w:val="00E87716"/>
    <w:rsid w:val="00E87BA3"/>
    <w:rsid w:val="00E931C6"/>
    <w:rsid w:val="00E96998"/>
    <w:rsid w:val="00E9709B"/>
    <w:rsid w:val="00EA3F22"/>
    <w:rsid w:val="00EB0B00"/>
    <w:rsid w:val="00EB231A"/>
    <w:rsid w:val="00EB7641"/>
    <w:rsid w:val="00EC02FD"/>
    <w:rsid w:val="00EE430B"/>
    <w:rsid w:val="00EE7718"/>
    <w:rsid w:val="00EF2DB3"/>
    <w:rsid w:val="00F0361C"/>
    <w:rsid w:val="00F2151C"/>
    <w:rsid w:val="00F32E89"/>
    <w:rsid w:val="00F3497D"/>
    <w:rsid w:val="00F4016A"/>
    <w:rsid w:val="00F457DD"/>
    <w:rsid w:val="00F522BB"/>
    <w:rsid w:val="00F52D2A"/>
    <w:rsid w:val="00F544AB"/>
    <w:rsid w:val="00F62CC2"/>
    <w:rsid w:val="00F67F24"/>
    <w:rsid w:val="00F700B1"/>
    <w:rsid w:val="00F7157E"/>
    <w:rsid w:val="00F72908"/>
    <w:rsid w:val="00F74D8D"/>
    <w:rsid w:val="00F7687F"/>
    <w:rsid w:val="00F76ED5"/>
    <w:rsid w:val="00F860DC"/>
    <w:rsid w:val="00F90A38"/>
    <w:rsid w:val="00FA636F"/>
    <w:rsid w:val="00FB165C"/>
    <w:rsid w:val="00FD45C6"/>
    <w:rsid w:val="00FD73FC"/>
    <w:rsid w:val="00FF35D1"/>
    <w:rsid w:val="00FF742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C02F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next w:val="Normal"/>
    <w:link w:val="Heading2Char"/>
    <w:uiPriority w:val="9"/>
    <w:unhideWhenUsed/>
    <w:qFormat/>
    <w:rsid w:val="00507B8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92F2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07B8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549B"/>
    <w:rPr>
      <w:color w:val="0000FF"/>
      <w:u w:val="single"/>
    </w:rPr>
  </w:style>
  <w:style w:type="paragraph" w:styleId="NormalWeb">
    <w:name w:val="Normal (Web)"/>
    <w:basedOn w:val="Normal"/>
    <w:uiPriority w:val="99"/>
    <w:unhideWhenUsed/>
    <w:rsid w:val="00CF549B"/>
    <w:pPr>
      <w:spacing w:before="100" w:beforeAutospacing="1" w:after="100" w:afterAutospacing="1" w:line="240" w:lineRule="auto"/>
    </w:pPr>
    <w:rPr>
      <w:rFonts w:ascii="Times New Roman" w:hAnsi="Times New Roman" w:cs="Times New Roman"/>
      <w:sz w:val="24"/>
      <w:szCs w:val="24"/>
      <w:lang w:eastAsia="ko-KR"/>
    </w:rPr>
  </w:style>
  <w:style w:type="paragraph" w:styleId="PlainText">
    <w:name w:val="Plain Text"/>
    <w:basedOn w:val="Normal"/>
    <w:link w:val="PlainTextChar"/>
    <w:uiPriority w:val="99"/>
    <w:unhideWhenUsed/>
    <w:rsid w:val="00CF549B"/>
    <w:pPr>
      <w:spacing w:after="0" w:line="240" w:lineRule="auto"/>
    </w:pPr>
    <w:rPr>
      <w:rFonts w:ascii="Calibri" w:hAnsi="Calibri" w:cs="Calibri"/>
    </w:rPr>
  </w:style>
  <w:style w:type="character" w:customStyle="1" w:styleId="PlainTextChar">
    <w:name w:val="Plain Text Char"/>
    <w:basedOn w:val="DefaultParagraphFont"/>
    <w:link w:val="PlainText"/>
    <w:uiPriority w:val="99"/>
    <w:rsid w:val="00CF549B"/>
    <w:rPr>
      <w:rFonts w:ascii="Calibri" w:hAnsi="Calibri" w:cs="Calibri"/>
    </w:rPr>
  </w:style>
  <w:style w:type="paragraph" w:styleId="ListParagraph">
    <w:name w:val="List Paragraph"/>
    <w:basedOn w:val="Normal"/>
    <w:uiPriority w:val="34"/>
    <w:qFormat/>
    <w:rsid w:val="00CF549B"/>
    <w:pPr>
      <w:spacing w:after="0" w:line="240" w:lineRule="auto"/>
      <w:ind w:left="720"/>
    </w:pPr>
    <w:rPr>
      <w:rFonts w:ascii="Calibri" w:hAnsi="Calibri" w:cs="Calibri"/>
    </w:rPr>
  </w:style>
  <w:style w:type="character" w:customStyle="1" w:styleId="ft">
    <w:name w:val="ft"/>
    <w:basedOn w:val="DefaultParagraphFont"/>
    <w:rsid w:val="00CF549B"/>
  </w:style>
  <w:style w:type="character" w:customStyle="1" w:styleId="Heading1Char">
    <w:name w:val="Heading 1 Char"/>
    <w:basedOn w:val="DefaultParagraphFont"/>
    <w:link w:val="Heading1"/>
    <w:uiPriority w:val="9"/>
    <w:rsid w:val="00EC02FD"/>
    <w:rPr>
      <w:rFonts w:ascii="Times New Roman" w:eastAsia="Times New Roman" w:hAnsi="Times New Roman" w:cs="Times New Roman"/>
      <w:b/>
      <w:bCs/>
      <w:kern w:val="36"/>
      <w:sz w:val="48"/>
      <w:szCs w:val="48"/>
      <w:lang w:eastAsia="en-NZ"/>
    </w:rPr>
  </w:style>
  <w:style w:type="paragraph" w:customStyle="1" w:styleId="Date1">
    <w:name w:val="Date1"/>
    <w:basedOn w:val="Normal"/>
    <w:rsid w:val="00EC02F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NoSpacing">
    <w:name w:val="No Spacing"/>
    <w:uiPriority w:val="1"/>
    <w:qFormat/>
    <w:rsid w:val="00076F54"/>
    <w:pPr>
      <w:spacing w:after="0" w:line="240" w:lineRule="auto"/>
    </w:pPr>
  </w:style>
  <w:style w:type="table" w:styleId="TableGrid">
    <w:name w:val="Table Grid"/>
    <w:basedOn w:val="TableNormal"/>
    <w:uiPriority w:val="59"/>
    <w:rsid w:val="007367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507B88"/>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507B88"/>
    <w:rPr>
      <w:rFonts w:asciiTheme="majorHAnsi" w:eastAsiaTheme="majorEastAsia" w:hAnsiTheme="majorHAnsi" w:cstheme="majorBidi"/>
      <w:b/>
      <w:bCs/>
      <w:i/>
      <w:iCs/>
      <w:color w:val="4F81BD" w:themeColor="accent1"/>
    </w:rPr>
  </w:style>
  <w:style w:type="character" w:styleId="Emphasis">
    <w:name w:val="Emphasis"/>
    <w:basedOn w:val="DefaultParagraphFont"/>
    <w:uiPriority w:val="20"/>
    <w:qFormat/>
    <w:rsid w:val="00877F22"/>
    <w:rPr>
      <w:i/>
      <w:iCs/>
    </w:rPr>
  </w:style>
  <w:style w:type="character" w:styleId="Strong">
    <w:name w:val="Strong"/>
    <w:basedOn w:val="DefaultParagraphFont"/>
    <w:uiPriority w:val="22"/>
    <w:qFormat/>
    <w:rsid w:val="00877F22"/>
    <w:rPr>
      <w:b/>
      <w:bCs/>
    </w:rPr>
  </w:style>
  <w:style w:type="character" w:customStyle="1" w:styleId="st1">
    <w:name w:val="st1"/>
    <w:basedOn w:val="DefaultParagraphFont"/>
    <w:rsid w:val="00C86FF4"/>
  </w:style>
  <w:style w:type="paragraph" w:styleId="BalloonText">
    <w:name w:val="Balloon Text"/>
    <w:basedOn w:val="Normal"/>
    <w:link w:val="BalloonTextChar"/>
    <w:uiPriority w:val="99"/>
    <w:semiHidden/>
    <w:unhideWhenUsed/>
    <w:rsid w:val="008171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710F"/>
    <w:rPr>
      <w:rFonts w:ascii="Tahoma" w:hAnsi="Tahoma" w:cs="Tahoma"/>
      <w:sz w:val="16"/>
      <w:szCs w:val="16"/>
    </w:rPr>
  </w:style>
  <w:style w:type="character" w:styleId="FollowedHyperlink">
    <w:name w:val="FollowedHyperlink"/>
    <w:basedOn w:val="DefaultParagraphFont"/>
    <w:uiPriority w:val="99"/>
    <w:semiHidden/>
    <w:unhideWhenUsed/>
    <w:rsid w:val="00CF1356"/>
    <w:rPr>
      <w:color w:val="800080" w:themeColor="followedHyperlink"/>
      <w:u w:val="single"/>
    </w:rPr>
  </w:style>
  <w:style w:type="paragraph" w:customStyle="1" w:styleId="TRNormal">
    <w:name w:val="_TRNormal"/>
    <w:qFormat/>
    <w:rsid w:val="00F3497D"/>
    <w:pPr>
      <w:spacing w:after="0" w:line="240" w:lineRule="auto"/>
      <w:ind w:left="567" w:hanging="567"/>
    </w:pPr>
    <w:rPr>
      <w:rFonts w:ascii="Arial" w:eastAsia="Times New Roman" w:hAnsi="Arial" w:cs="Times New Roman"/>
      <w:szCs w:val="20"/>
    </w:rPr>
  </w:style>
  <w:style w:type="character" w:customStyle="1" w:styleId="mw-cite-backlink">
    <w:name w:val="mw-cite-backlink"/>
    <w:basedOn w:val="DefaultParagraphFont"/>
    <w:rsid w:val="00220EFB"/>
  </w:style>
  <w:style w:type="character" w:customStyle="1" w:styleId="citation">
    <w:name w:val="citation"/>
    <w:basedOn w:val="DefaultParagraphFont"/>
    <w:rsid w:val="00220EFB"/>
  </w:style>
  <w:style w:type="character" w:customStyle="1" w:styleId="printonly">
    <w:name w:val="printonly"/>
    <w:basedOn w:val="DefaultParagraphFont"/>
    <w:rsid w:val="00220EFB"/>
  </w:style>
  <w:style w:type="character" w:customStyle="1" w:styleId="bc">
    <w:name w:val="bc"/>
    <w:basedOn w:val="DefaultParagraphFont"/>
    <w:rsid w:val="009E276D"/>
  </w:style>
  <w:style w:type="character" w:customStyle="1" w:styleId="vshid1">
    <w:name w:val="vshid1"/>
    <w:basedOn w:val="DefaultParagraphFont"/>
    <w:rsid w:val="009E276D"/>
    <w:rPr>
      <w:vanish/>
      <w:webHidden w:val="0"/>
      <w:specVanish w:val="0"/>
    </w:rPr>
  </w:style>
  <w:style w:type="paragraph" w:customStyle="1" w:styleId="Default">
    <w:name w:val="Default"/>
    <w:rsid w:val="00443908"/>
    <w:pPr>
      <w:autoSpaceDE w:val="0"/>
      <w:autoSpaceDN w:val="0"/>
      <w:adjustRightInd w:val="0"/>
      <w:spacing w:after="0" w:line="240" w:lineRule="auto"/>
    </w:pPr>
    <w:rPr>
      <w:rFonts w:ascii="Arial" w:hAnsi="Arial" w:cs="Arial"/>
      <w:color w:val="000000"/>
      <w:sz w:val="24"/>
      <w:szCs w:val="24"/>
    </w:rPr>
  </w:style>
  <w:style w:type="character" w:customStyle="1" w:styleId="Heading3Char">
    <w:name w:val="Heading 3 Char"/>
    <w:basedOn w:val="DefaultParagraphFont"/>
    <w:link w:val="Heading3"/>
    <w:uiPriority w:val="9"/>
    <w:semiHidden/>
    <w:rsid w:val="00392F2A"/>
    <w:rPr>
      <w:rFonts w:asciiTheme="majorHAnsi" w:eastAsiaTheme="majorEastAsia" w:hAnsiTheme="majorHAnsi" w:cstheme="majorBidi"/>
      <w:b/>
      <w:bCs/>
      <w:color w:val="4F81BD" w:themeColor="accent1"/>
    </w:rPr>
  </w:style>
  <w:style w:type="character" w:styleId="HTMLCite">
    <w:name w:val="HTML Cite"/>
    <w:basedOn w:val="DefaultParagraphFont"/>
    <w:uiPriority w:val="99"/>
    <w:semiHidden/>
    <w:unhideWhenUsed/>
    <w:rsid w:val="0011256D"/>
    <w:rPr>
      <w:i/>
      <w:iCs/>
    </w:rPr>
  </w:style>
  <w:style w:type="character" w:customStyle="1" w:styleId="googqs-tidbit1">
    <w:name w:val="goog_qs-tidbit1"/>
    <w:basedOn w:val="DefaultParagraphFont"/>
    <w:rsid w:val="00D21786"/>
    <w:rPr>
      <w:vanish w:val="0"/>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C02F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next w:val="Normal"/>
    <w:link w:val="Heading2Char"/>
    <w:uiPriority w:val="9"/>
    <w:unhideWhenUsed/>
    <w:qFormat/>
    <w:rsid w:val="00507B8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92F2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07B8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549B"/>
    <w:rPr>
      <w:color w:val="0000FF"/>
      <w:u w:val="single"/>
    </w:rPr>
  </w:style>
  <w:style w:type="paragraph" w:styleId="NormalWeb">
    <w:name w:val="Normal (Web)"/>
    <w:basedOn w:val="Normal"/>
    <w:uiPriority w:val="99"/>
    <w:unhideWhenUsed/>
    <w:rsid w:val="00CF549B"/>
    <w:pPr>
      <w:spacing w:before="100" w:beforeAutospacing="1" w:after="100" w:afterAutospacing="1" w:line="240" w:lineRule="auto"/>
    </w:pPr>
    <w:rPr>
      <w:rFonts w:ascii="Times New Roman" w:hAnsi="Times New Roman" w:cs="Times New Roman"/>
      <w:sz w:val="24"/>
      <w:szCs w:val="24"/>
      <w:lang w:eastAsia="ko-KR"/>
    </w:rPr>
  </w:style>
  <w:style w:type="paragraph" w:styleId="PlainText">
    <w:name w:val="Plain Text"/>
    <w:basedOn w:val="Normal"/>
    <w:link w:val="PlainTextChar"/>
    <w:uiPriority w:val="99"/>
    <w:unhideWhenUsed/>
    <w:rsid w:val="00CF549B"/>
    <w:pPr>
      <w:spacing w:after="0" w:line="240" w:lineRule="auto"/>
    </w:pPr>
    <w:rPr>
      <w:rFonts w:ascii="Calibri" w:hAnsi="Calibri" w:cs="Calibri"/>
    </w:rPr>
  </w:style>
  <w:style w:type="character" w:customStyle="1" w:styleId="PlainTextChar">
    <w:name w:val="Plain Text Char"/>
    <w:basedOn w:val="DefaultParagraphFont"/>
    <w:link w:val="PlainText"/>
    <w:uiPriority w:val="99"/>
    <w:rsid w:val="00CF549B"/>
    <w:rPr>
      <w:rFonts w:ascii="Calibri" w:hAnsi="Calibri" w:cs="Calibri"/>
    </w:rPr>
  </w:style>
  <w:style w:type="paragraph" w:styleId="ListParagraph">
    <w:name w:val="List Paragraph"/>
    <w:basedOn w:val="Normal"/>
    <w:uiPriority w:val="34"/>
    <w:qFormat/>
    <w:rsid w:val="00CF549B"/>
    <w:pPr>
      <w:spacing w:after="0" w:line="240" w:lineRule="auto"/>
      <w:ind w:left="720"/>
    </w:pPr>
    <w:rPr>
      <w:rFonts w:ascii="Calibri" w:hAnsi="Calibri" w:cs="Calibri"/>
    </w:rPr>
  </w:style>
  <w:style w:type="character" w:customStyle="1" w:styleId="ft">
    <w:name w:val="ft"/>
    <w:basedOn w:val="DefaultParagraphFont"/>
    <w:rsid w:val="00CF549B"/>
  </w:style>
  <w:style w:type="character" w:customStyle="1" w:styleId="Heading1Char">
    <w:name w:val="Heading 1 Char"/>
    <w:basedOn w:val="DefaultParagraphFont"/>
    <w:link w:val="Heading1"/>
    <w:uiPriority w:val="9"/>
    <w:rsid w:val="00EC02FD"/>
    <w:rPr>
      <w:rFonts w:ascii="Times New Roman" w:eastAsia="Times New Roman" w:hAnsi="Times New Roman" w:cs="Times New Roman"/>
      <w:b/>
      <w:bCs/>
      <w:kern w:val="36"/>
      <w:sz w:val="48"/>
      <w:szCs w:val="48"/>
      <w:lang w:eastAsia="en-NZ"/>
    </w:rPr>
  </w:style>
  <w:style w:type="paragraph" w:customStyle="1" w:styleId="Date1">
    <w:name w:val="Date1"/>
    <w:basedOn w:val="Normal"/>
    <w:rsid w:val="00EC02F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NoSpacing">
    <w:name w:val="No Spacing"/>
    <w:uiPriority w:val="1"/>
    <w:qFormat/>
    <w:rsid w:val="00076F54"/>
    <w:pPr>
      <w:spacing w:after="0" w:line="240" w:lineRule="auto"/>
    </w:pPr>
  </w:style>
  <w:style w:type="table" w:styleId="TableGrid">
    <w:name w:val="Table Grid"/>
    <w:basedOn w:val="TableNormal"/>
    <w:uiPriority w:val="59"/>
    <w:rsid w:val="007367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507B88"/>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507B88"/>
    <w:rPr>
      <w:rFonts w:asciiTheme="majorHAnsi" w:eastAsiaTheme="majorEastAsia" w:hAnsiTheme="majorHAnsi" w:cstheme="majorBidi"/>
      <w:b/>
      <w:bCs/>
      <w:i/>
      <w:iCs/>
      <w:color w:val="4F81BD" w:themeColor="accent1"/>
    </w:rPr>
  </w:style>
  <w:style w:type="character" w:styleId="Emphasis">
    <w:name w:val="Emphasis"/>
    <w:basedOn w:val="DefaultParagraphFont"/>
    <w:uiPriority w:val="20"/>
    <w:qFormat/>
    <w:rsid w:val="00877F22"/>
    <w:rPr>
      <w:i/>
      <w:iCs/>
    </w:rPr>
  </w:style>
  <w:style w:type="character" w:styleId="Strong">
    <w:name w:val="Strong"/>
    <w:basedOn w:val="DefaultParagraphFont"/>
    <w:uiPriority w:val="22"/>
    <w:qFormat/>
    <w:rsid w:val="00877F22"/>
    <w:rPr>
      <w:b/>
      <w:bCs/>
    </w:rPr>
  </w:style>
  <w:style w:type="character" w:customStyle="1" w:styleId="st1">
    <w:name w:val="st1"/>
    <w:basedOn w:val="DefaultParagraphFont"/>
    <w:rsid w:val="00C86FF4"/>
  </w:style>
  <w:style w:type="paragraph" w:styleId="BalloonText">
    <w:name w:val="Balloon Text"/>
    <w:basedOn w:val="Normal"/>
    <w:link w:val="BalloonTextChar"/>
    <w:uiPriority w:val="99"/>
    <w:semiHidden/>
    <w:unhideWhenUsed/>
    <w:rsid w:val="008171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710F"/>
    <w:rPr>
      <w:rFonts w:ascii="Tahoma" w:hAnsi="Tahoma" w:cs="Tahoma"/>
      <w:sz w:val="16"/>
      <w:szCs w:val="16"/>
    </w:rPr>
  </w:style>
  <w:style w:type="character" w:styleId="FollowedHyperlink">
    <w:name w:val="FollowedHyperlink"/>
    <w:basedOn w:val="DefaultParagraphFont"/>
    <w:uiPriority w:val="99"/>
    <w:semiHidden/>
    <w:unhideWhenUsed/>
    <w:rsid w:val="00CF1356"/>
    <w:rPr>
      <w:color w:val="800080" w:themeColor="followedHyperlink"/>
      <w:u w:val="single"/>
    </w:rPr>
  </w:style>
  <w:style w:type="paragraph" w:customStyle="1" w:styleId="TRNormal">
    <w:name w:val="_TRNormal"/>
    <w:qFormat/>
    <w:rsid w:val="00F3497D"/>
    <w:pPr>
      <w:spacing w:after="0" w:line="240" w:lineRule="auto"/>
      <w:ind w:left="567" w:hanging="567"/>
    </w:pPr>
    <w:rPr>
      <w:rFonts w:ascii="Arial" w:eastAsia="Times New Roman" w:hAnsi="Arial" w:cs="Times New Roman"/>
      <w:szCs w:val="20"/>
    </w:rPr>
  </w:style>
  <w:style w:type="character" w:customStyle="1" w:styleId="mw-cite-backlink">
    <w:name w:val="mw-cite-backlink"/>
    <w:basedOn w:val="DefaultParagraphFont"/>
    <w:rsid w:val="00220EFB"/>
  </w:style>
  <w:style w:type="character" w:customStyle="1" w:styleId="citation">
    <w:name w:val="citation"/>
    <w:basedOn w:val="DefaultParagraphFont"/>
    <w:rsid w:val="00220EFB"/>
  </w:style>
  <w:style w:type="character" w:customStyle="1" w:styleId="printonly">
    <w:name w:val="printonly"/>
    <w:basedOn w:val="DefaultParagraphFont"/>
    <w:rsid w:val="00220EFB"/>
  </w:style>
  <w:style w:type="character" w:customStyle="1" w:styleId="bc">
    <w:name w:val="bc"/>
    <w:basedOn w:val="DefaultParagraphFont"/>
    <w:rsid w:val="009E276D"/>
  </w:style>
  <w:style w:type="character" w:customStyle="1" w:styleId="vshid1">
    <w:name w:val="vshid1"/>
    <w:basedOn w:val="DefaultParagraphFont"/>
    <w:rsid w:val="009E276D"/>
    <w:rPr>
      <w:vanish/>
      <w:webHidden w:val="0"/>
      <w:specVanish w:val="0"/>
    </w:rPr>
  </w:style>
  <w:style w:type="paragraph" w:customStyle="1" w:styleId="Default">
    <w:name w:val="Default"/>
    <w:rsid w:val="00443908"/>
    <w:pPr>
      <w:autoSpaceDE w:val="0"/>
      <w:autoSpaceDN w:val="0"/>
      <w:adjustRightInd w:val="0"/>
      <w:spacing w:after="0" w:line="240" w:lineRule="auto"/>
    </w:pPr>
    <w:rPr>
      <w:rFonts w:ascii="Arial" w:hAnsi="Arial" w:cs="Arial"/>
      <w:color w:val="000000"/>
      <w:sz w:val="24"/>
      <w:szCs w:val="24"/>
    </w:rPr>
  </w:style>
  <w:style w:type="character" w:customStyle="1" w:styleId="Heading3Char">
    <w:name w:val="Heading 3 Char"/>
    <w:basedOn w:val="DefaultParagraphFont"/>
    <w:link w:val="Heading3"/>
    <w:uiPriority w:val="9"/>
    <w:semiHidden/>
    <w:rsid w:val="00392F2A"/>
    <w:rPr>
      <w:rFonts w:asciiTheme="majorHAnsi" w:eastAsiaTheme="majorEastAsia" w:hAnsiTheme="majorHAnsi" w:cstheme="majorBidi"/>
      <w:b/>
      <w:bCs/>
      <w:color w:val="4F81BD" w:themeColor="accent1"/>
    </w:rPr>
  </w:style>
  <w:style w:type="character" w:styleId="HTMLCite">
    <w:name w:val="HTML Cite"/>
    <w:basedOn w:val="DefaultParagraphFont"/>
    <w:uiPriority w:val="99"/>
    <w:semiHidden/>
    <w:unhideWhenUsed/>
    <w:rsid w:val="0011256D"/>
    <w:rPr>
      <w:i/>
      <w:iCs/>
    </w:rPr>
  </w:style>
  <w:style w:type="character" w:customStyle="1" w:styleId="googqs-tidbit1">
    <w:name w:val="goog_qs-tidbit1"/>
    <w:basedOn w:val="DefaultParagraphFont"/>
    <w:rsid w:val="00D21786"/>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52436">
      <w:bodyDiv w:val="1"/>
      <w:marLeft w:val="0"/>
      <w:marRight w:val="0"/>
      <w:marTop w:val="0"/>
      <w:marBottom w:val="0"/>
      <w:divBdr>
        <w:top w:val="none" w:sz="0" w:space="0" w:color="auto"/>
        <w:left w:val="none" w:sz="0" w:space="0" w:color="auto"/>
        <w:bottom w:val="none" w:sz="0" w:space="0" w:color="auto"/>
        <w:right w:val="none" w:sz="0" w:space="0" w:color="auto"/>
      </w:divBdr>
    </w:div>
    <w:div w:id="99571122">
      <w:bodyDiv w:val="1"/>
      <w:marLeft w:val="0"/>
      <w:marRight w:val="0"/>
      <w:marTop w:val="0"/>
      <w:marBottom w:val="0"/>
      <w:divBdr>
        <w:top w:val="none" w:sz="0" w:space="0" w:color="auto"/>
        <w:left w:val="none" w:sz="0" w:space="0" w:color="auto"/>
        <w:bottom w:val="none" w:sz="0" w:space="0" w:color="auto"/>
        <w:right w:val="none" w:sz="0" w:space="0" w:color="auto"/>
      </w:divBdr>
    </w:div>
    <w:div w:id="122504284">
      <w:bodyDiv w:val="1"/>
      <w:marLeft w:val="0"/>
      <w:marRight w:val="0"/>
      <w:marTop w:val="0"/>
      <w:marBottom w:val="0"/>
      <w:divBdr>
        <w:top w:val="none" w:sz="0" w:space="0" w:color="auto"/>
        <w:left w:val="none" w:sz="0" w:space="0" w:color="auto"/>
        <w:bottom w:val="none" w:sz="0" w:space="0" w:color="auto"/>
        <w:right w:val="none" w:sz="0" w:space="0" w:color="auto"/>
      </w:divBdr>
      <w:divsChild>
        <w:div w:id="1690528346">
          <w:marLeft w:val="547"/>
          <w:marRight w:val="0"/>
          <w:marTop w:val="77"/>
          <w:marBottom w:val="0"/>
          <w:divBdr>
            <w:top w:val="none" w:sz="0" w:space="0" w:color="auto"/>
            <w:left w:val="none" w:sz="0" w:space="0" w:color="auto"/>
            <w:bottom w:val="none" w:sz="0" w:space="0" w:color="auto"/>
            <w:right w:val="none" w:sz="0" w:space="0" w:color="auto"/>
          </w:divBdr>
        </w:div>
        <w:div w:id="823811310">
          <w:marLeft w:val="1166"/>
          <w:marRight w:val="0"/>
          <w:marTop w:val="67"/>
          <w:marBottom w:val="0"/>
          <w:divBdr>
            <w:top w:val="none" w:sz="0" w:space="0" w:color="auto"/>
            <w:left w:val="none" w:sz="0" w:space="0" w:color="auto"/>
            <w:bottom w:val="none" w:sz="0" w:space="0" w:color="auto"/>
            <w:right w:val="none" w:sz="0" w:space="0" w:color="auto"/>
          </w:divBdr>
        </w:div>
        <w:div w:id="808670069">
          <w:marLeft w:val="1166"/>
          <w:marRight w:val="0"/>
          <w:marTop w:val="67"/>
          <w:marBottom w:val="0"/>
          <w:divBdr>
            <w:top w:val="none" w:sz="0" w:space="0" w:color="auto"/>
            <w:left w:val="none" w:sz="0" w:space="0" w:color="auto"/>
            <w:bottom w:val="none" w:sz="0" w:space="0" w:color="auto"/>
            <w:right w:val="none" w:sz="0" w:space="0" w:color="auto"/>
          </w:divBdr>
        </w:div>
        <w:div w:id="1678457242">
          <w:marLeft w:val="547"/>
          <w:marRight w:val="0"/>
          <w:marTop w:val="77"/>
          <w:marBottom w:val="0"/>
          <w:divBdr>
            <w:top w:val="none" w:sz="0" w:space="0" w:color="auto"/>
            <w:left w:val="none" w:sz="0" w:space="0" w:color="auto"/>
            <w:bottom w:val="none" w:sz="0" w:space="0" w:color="auto"/>
            <w:right w:val="none" w:sz="0" w:space="0" w:color="auto"/>
          </w:divBdr>
        </w:div>
        <w:div w:id="1383597378">
          <w:marLeft w:val="1166"/>
          <w:marRight w:val="0"/>
          <w:marTop w:val="67"/>
          <w:marBottom w:val="0"/>
          <w:divBdr>
            <w:top w:val="none" w:sz="0" w:space="0" w:color="auto"/>
            <w:left w:val="none" w:sz="0" w:space="0" w:color="auto"/>
            <w:bottom w:val="none" w:sz="0" w:space="0" w:color="auto"/>
            <w:right w:val="none" w:sz="0" w:space="0" w:color="auto"/>
          </w:divBdr>
        </w:div>
        <w:div w:id="2141680105">
          <w:marLeft w:val="547"/>
          <w:marRight w:val="0"/>
          <w:marTop w:val="77"/>
          <w:marBottom w:val="0"/>
          <w:divBdr>
            <w:top w:val="none" w:sz="0" w:space="0" w:color="auto"/>
            <w:left w:val="none" w:sz="0" w:space="0" w:color="auto"/>
            <w:bottom w:val="none" w:sz="0" w:space="0" w:color="auto"/>
            <w:right w:val="none" w:sz="0" w:space="0" w:color="auto"/>
          </w:divBdr>
        </w:div>
        <w:div w:id="1481267238">
          <w:marLeft w:val="1166"/>
          <w:marRight w:val="0"/>
          <w:marTop w:val="67"/>
          <w:marBottom w:val="0"/>
          <w:divBdr>
            <w:top w:val="none" w:sz="0" w:space="0" w:color="auto"/>
            <w:left w:val="none" w:sz="0" w:space="0" w:color="auto"/>
            <w:bottom w:val="none" w:sz="0" w:space="0" w:color="auto"/>
            <w:right w:val="none" w:sz="0" w:space="0" w:color="auto"/>
          </w:divBdr>
        </w:div>
        <w:div w:id="861363902">
          <w:marLeft w:val="1166"/>
          <w:marRight w:val="0"/>
          <w:marTop w:val="67"/>
          <w:marBottom w:val="0"/>
          <w:divBdr>
            <w:top w:val="none" w:sz="0" w:space="0" w:color="auto"/>
            <w:left w:val="none" w:sz="0" w:space="0" w:color="auto"/>
            <w:bottom w:val="none" w:sz="0" w:space="0" w:color="auto"/>
            <w:right w:val="none" w:sz="0" w:space="0" w:color="auto"/>
          </w:divBdr>
        </w:div>
        <w:div w:id="1175000609">
          <w:marLeft w:val="547"/>
          <w:marRight w:val="0"/>
          <w:marTop w:val="77"/>
          <w:marBottom w:val="0"/>
          <w:divBdr>
            <w:top w:val="none" w:sz="0" w:space="0" w:color="auto"/>
            <w:left w:val="none" w:sz="0" w:space="0" w:color="auto"/>
            <w:bottom w:val="none" w:sz="0" w:space="0" w:color="auto"/>
            <w:right w:val="none" w:sz="0" w:space="0" w:color="auto"/>
          </w:divBdr>
        </w:div>
      </w:divsChild>
    </w:div>
    <w:div w:id="132211012">
      <w:bodyDiv w:val="1"/>
      <w:marLeft w:val="0"/>
      <w:marRight w:val="0"/>
      <w:marTop w:val="0"/>
      <w:marBottom w:val="0"/>
      <w:divBdr>
        <w:top w:val="none" w:sz="0" w:space="0" w:color="auto"/>
        <w:left w:val="none" w:sz="0" w:space="0" w:color="auto"/>
        <w:bottom w:val="none" w:sz="0" w:space="0" w:color="auto"/>
        <w:right w:val="none" w:sz="0" w:space="0" w:color="auto"/>
      </w:divBdr>
    </w:div>
    <w:div w:id="190460433">
      <w:bodyDiv w:val="1"/>
      <w:marLeft w:val="0"/>
      <w:marRight w:val="0"/>
      <w:marTop w:val="0"/>
      <w:marBottom w:val="0"/>
      <w:divBdr>
        <w:top w:val="none" w:sz="0" w:space="0" w:color="auto"/>
        <w:left w:val="none" w:sz="0" w:space="0" w:color="auto"/>
        <w:bottom w:val="none" w:sz="0" w:space="0" w:color="auto"/>
        <w:right w:val="none" w:sz="0" w:space="0" w:color="auto"/>
      </w:divBdr>
      <w:divsChild>
        <w:div w:id="1494877928">
          <w:marLeft w:val="0"/>
          <w:marRight w:val="0"/>
          <w:marTop w:val="0"/>
          <w:marBottom w:val="0"/>
          <w:divBdr>
            <w:top w:val="none" w:sz="0" w:space="0" w:color="auto"/>
            <w:left w:val="none" w:sz="0" w:space="0" w:color="auto"/>
            <w:bottom w:val="none" w:sz="0" w:space="0" w:color="auto"/>
            <w:right w:val="none" w:sz="0" w:space="0" w:color="auto"/>
          </w:divBdr>
          <w:divsChild>
            <w:div w:id="177351288">
              <w:marLeft w:val="0"/>
              <w:marRight w:val="0"/>
              <w:marTop w:val="0"/>
              <w:marBottom w:val="450"/>
              <w:divBdr>
                <w:top w:val="none" w:sz="0" w:space="0" w:color="auto"/>
                <w:left w:val="none" w:sz="0" w:space="0" w:color="auto"/>
                <w:bottom w:val="none" w:sz="0" w:space="0" w:color="auto"/>
                <w:right w:val="none" w:sz="0" w:space="0" w:color="auto"/>
              </w:divBdr>
              <w:divsChild>
                <w:div w:id="234247394">
                  <w:marLeft w:val="-15"/>
                  <w:marRight w:val="0"/>
                  <w:marTop w:val="0"/>
                  <w:marBottom w:val="750"/>
                  <w:divBdr>
                    <w:top w:val="single" w:sz="6" w:space="0" w:color="E4E4E5"/>
                    <w:left w:val="single" w:sz="6" w:space="0" w:color="E4E4E5"/>
                    <w:bottom w:val="none" w:sz="0" w:space="0" w:color="auto"/>
                    <w:right w:val="none" w:sz="0" w:space="0" w:color="auto"/>
                  </w:divBdr>
                  <w:divsChild>
                    <w:div w:id="1160383559">
                      <w:marLeft w:val="0"/>
                      <w:marRight w:val="0"/>
                      <w:marTop w:val="0"/>
                      <w:marBottom w:val="0"/>
                      <w:divBdr>
                        <w:top w:val="none" w:sz="0" w:space="0" w:color="auto"/>
                        <w:left w:val="none" w:sz="0" w:space="0" w:color="auto"/>
                        <w:bottom w:val="none" w:sz="0" w:space="0" w:color="auto"/>
                        <w:right w:val="none" w:sz="0" w:space="0" w:color="auto"/>
                      </w:divBdr>
                      <w:divsChild>
                        <w:div w:id="2102480156">
                          <w:marLeft w:val="0"/>
                          <w:marRight w:val="0"/>
                          <w:marTop w:val="0"/>
                          <w:marBottom w:val="360"/>
                          <w:divBdr>
                            <w:top w:val="none" w:sz="0" w:space="0" w:color="auto"/>
                            <w:left w:val="none" w:sz="0" w:space="0" w:color="auto"/>
                            <w:bottom w:val="none" w:sz="0" w:space="0" w:color="auto"/>
                            <w:right w:val="none" w:sz="0" w:space="0" w:color="auto"/>
                          </w:divBdr>
                          <w:divsChild>
                            <w:div w:id="1746142131">
                              <w:marLeft w:val="0"/>
                              <w:marRight w:val="0"/>
                              <w:marTop w:val="0"/>
                              <w:marBottom w:val="0"/>
                              <w:divBdr>
                                <w:top w:val="none" w:sz="0" w:space="0" w:color="auto"/>
                                <w:left w:val="none" w:sz="0" w:space="0" w:color="auto"/>
                                <w:bottom w:val="none" w:sz="0" w:space="0" w:color="auto"/>
                                <w:right w:val="none" w:sz="0" w:space="0" w:color="auto"/>
                              </w:divBdr>
                              <w:divsChild>
                                <w:div w:id="1404522231">
                                  <w:marLeft w:val="0"/>
                                  <w:marRight w:val="0"/>
                                  <w:marTop w:val="0"/>
                                  <w:marBottom w:val="0"/>
                                  <w:divBdr>
                                    <w:top w:val="none" w:sz="0" w:space="0" w:color="auto"/>
                                    <w:left w:val="none" w:sz="0" w:space="0" w:color="auto"/>
                                    <w:bottom w:val="none" w:sz="0" w:space="0" w:color="auto"/>
                                    <w:right w:val="none" w:sz="0" w:space="0" w:color="auto"/>
                                  </w:divBdr>
                                  <w:divsChild>
                                    <w:div w:id="1904293754">
                                      <w:marLeft w:val="0"/>
                                      <w:marRight w:val="0"/>
                                      <w:marTop w:val="0"/>
                                      <w:marBottom w:val="0"/>
                                      <w:divBdr>
                                        <w:top w:val="none" w:sz="0" w:space="0" w:color="auto"/>
                                        <w:left w:val="none" w:sz="0" w:space="0" w:color="auto"/>
                                        <w:bottom w:val="none" w:sz="0" w:space="0" w:color="auto"/>
                                        <w:right w:val="none" w:sz="0" w:space="0" w:color="auto"/>
                                      </w:divBdr>
                                      <w:divsChild>
                                        <w:div w:id="843472629">
                                          <w:marLeft w:val="0"/>
                                          <w:marRight w:val="0"/>
                                          <w:marTop w:val="0"/>
                                          <w:marBottom w:val="0"/>
                                          <w:divBdr>
                                            <w:top w:val="none" w:sz="0" w:space="0" w:color="auto"/>
                                            <w:left w:val="none" w:sz="0" w:space="0" w:color="auto"/>
                                            <w:bottom w:val="none" w:sz="0" w:space="0" w:color="auto"/>
                                            <w:right w:val="none" w:sz="0" w:space="0" w:color="auto"/>
                                          </w:divBdr>
                                          <w:divsChild>
                                            <w:div w:id="1974481881">
                                              <w:marLeft w:val="0"/>
                                              <w:marRight w:val="0"/>
                                              <w:marTop w:val="0"/>
                                              <w:marBottom w:val="0"/>
                                              <w:divBdr>
                                                <w:top w:val="none" w:sz="0" w:space="0" w:color="auto"/>
                                                <w:left w:val="none" w:sz="0" w:space="0" w:color="auto"/>
                                                <w:bottom w:val="none" w:sz="0" w:space="0" w:color="auto"/>
                                                <w:right w:val="none" w:sz="0" w:space="0" w:color="auto"/>
                                              </w:divBdr>
                                              <w:divsChild>
                                                <w:div w:id="576136511">
                                                  <w:marLeft w:val="0"/>
                                                  <w:marRight w:val="0"/>
                                                  <w:marTop w:val="0"/>
                                                  <w:marBottom w:val="0"/>
                                                  <w:divBdr>
                                                    <w:top w:val="none" w:sz="0" w:space="0" w:color="auto"/>
                                                    <w:left w:val="none" w:sz="0" w:space="0" w:color="auto"/>
                                                    <w:bottom w:val="none" w:sz="0" w:space="0" w:color="auto"/>
                                                    <w:right w:val="none" w:sz="0" w:space="0" w:color="auto"/>
                                                  </w:divBdr>
                                                  <w:divsChild>
                                                    <w:div w:id="100492553">
                                                      <w:marLeft w:val="0"/>
                                                      <w:marRight w:val="0"/>
                                                      <w:marTop w:val="0"/>
                                                      <w:marBottom w:val="0"/>
                                                      <w:divBdr>
                                                        <w:top w:val="none" w:sz="0" w:space="0" w:color="auto"/>
                                                        <w:left w:val="none" w:sz="0" w:space="0" w:color="auto"/>
                                                        <w:bottom w:val="none" w:sz="0" w:space="0" w:color="auto"/>
                                                        <w:right w:val="none" w:sz="0" w:space="0" w:color="auto"/>
                                                      </w:divBdr>
                                                      <w:divsChild>
                                                        <w:div w:id="1222256379">
                                                          <w:marLeft w:val="0"/>
                                                          <w:marRight w:val="0"/>
                                                          <w:marTop w:val="0"/>
                                                          <w:marBottom w:val="0"/>
                                                          <w:divBdr>
                                                            <w:top w:val="none" w:sz="0" w:space="0" w:color="auto"/>
                                                            <w:left w:val="none" w:sz="0" w:space="0" w:color="auto"/>
                                                            <w:bottom w:val="none" w:sz="0" w:space="0" w:color="auto"/>
                                                            <w:right w:val="none" w:sz="0" w:space="0" w:color="auto"/>
                                                          </w:divBdr>
                                                          <w:divsChild>
                                                            <w:div w:id="35404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0523799">
      <w:bodyDiv w:val="1"/>
      <w:marLeft w:val="0"/>
      <w:marRight w:val="0"/>
      <w:marTop w:val="0"/>
      <w:marBottom w:val="0"/>
      <w:divBdr>
        <w:top w:val="none" w:sz="0" w:space="0" w:color="auto"/>
        <w:left w:val="none" w:sz="0" w:space="0" w:color="auto"/>
        <w:bottom w:val="none" w:sz="0" w:space="0" w:color="auto"/>
        <w:right w:val="none" w:sz="0" w:space="0" w:color="auto"/>
      </w:divBdr>
    </w:div>
    <w:div w:id="351298905">
      <w:bodyDiv w:val="1"/>
      <w:marLeft w:val="0"/>
      <w:marRight w:val="0"/>
      <w:marTop w:val="0"/>
      <w:marBottom w:val="0"/>
      <w:divBdr>
        <w:top w:val="none" w:sz="0" w:space="0" w:color="auto"/>
        <w:left w:val="none" w:sz="0" w:space="0" w:color="auto"/>
        <w:bottom w:val="none" w:sz="0" w:space="0" w:color="auto"/>
        <w:right w:val="none" w:sz="0" w:space="0" w:color="auto"/>
      </w:divBdr>
      <w:divsChild>
        <w:div w:id="63261084">
          <w:marLeft w:val="0"/>
          <w:marRight w:val="0"/>
          <w:marTop w:val="0"/>
          <w:marBottom w:val="0"/>
          <w:divBdr>
            <w:top w:val="none" w:sz="0" w:space="0" w:color="auto"/>
            <w:left w:val="none" w:sz="0" w:space="0" w:color="auto"/>
            <w:bottom w:val="none" w:sz="0" w:space="0" w:color="auto"/>
            <w:right w:val="none" w:sz="0" w:space="0" w:color="auto"/>
          </w:divBdr>
          <w:divsChild>
            <w:div w:id="476800367">
              <w:marLeft w:val="0"/>
              <w:marRight w:val="0"/>
              <w:marTop w:val="0"/>
              <w:marBottom w:val="0"/>
              <w:divBdr>
                <w:top w:val="none" w:sz="0" w:space="0" w:color="auto"/>
                <w:left w:val="none" w:sz="0" w:space="0" w:color="auto"/>
                <w:bottom w:val="none" w:sz="0" w:space="0" w:color="auto"/>
                <w:right w:val="none" w:sz="0" w:space="0" w:color="auto"/>
              </w:divBdr>
              <w:divsChild>
                <w:div w:id="1926456511">
                  <w:marLeft w:val="0"/>
                  <w:marRight w:val="0"/>
                  <w:marTop w:val="0"/>
                  <w:marBottom w:val="0"/>
                  <w:divBdr>
                    <w:top w:val="none" w:sz="0" w:space="0" w:color="auto"/>
                    <w:left w:val="none" w:sz="0" w:space="0" w:color="auto"/>
                    <w:bottom w:val="none" w:sz="0" w:space="0" w:color="auto"/>
                    <w:right w:val="none" w:sz="0" w:space="0" w:color="auto"/>
                  </w:divBdr>
                  <w:divsChild>
                    <w:div w:id="46077112">
                      <w:marLeft w:val="0"/>
                      <w:marRight w:val="0"/>
                      <w:marTop w:val="0"/>
                      <w:marBottom w:val="0"/>
                      <w:divBdr>
                        <w:top w:val="none" w:sz="0" w:space="0" w:color="auto"/>
                        <w:left w:val="none" w:sz="0" w:space="0" w:color="auto"/>
                        <w:bottom w:val="none" w:sz="0" w:space="0" w:color="auto"/>
                        <w:right w:val="none" w:sz="0" w:space="0" w:color="auto"/>
                      </w:divBdr>
                      <w:divsChild>
                        <w:div w:id="1671905234">
                          <w:marLeft w:val="0"/>
                          <w:marRight w:val="0"/>
                          <w:marTop w:val="315"/>
                          <w:marBottom w:val="0"/>
                          <w:divBdr>
                            <w:top w:val="none" w:sz="0" w:space="0" w:color="auto"/>
                            <w:left w:val="none" w:sz="0" w:space="0" w:color="auto"/>
                            <w:bottom w:val="none" w:sz="0" w:space="0" w:color="auto"/>
                            <w:right w:val="none" w:sz="0" w:space="0" w:color="auto"/>
                          </w:divBdr>
                          <w:divsChild>
                            <w:div w:id="1763060655">
                              <w:marLeft w:val="1980"/>
                              <w:marRight w:val="3810"/>
                              <w:marTop w:val="0"/>
                              <w:marBottom w:val="0"/>
                              <w:divBdr>
                                <w:top w:val="none" w:sz="0" w:space="0" w:color="auto"/>
                                <w:left w:val="none" w:sz="0" w:space="0" w:color="auto"/>
                                <w:bottom w:val="none" w:sz="0" w:space="0" w:color="auto"/>
                                <w:right w:val="none" w:sz="0" w:space="0" w:color="auto"/>
                              </w:divBdr>
                              <w:divsChild>
                                <w:div w:id="614486615">
                                  <w:marLeft w:val="0"/>
                                  <w:marRight w:val="0"/>
                                  <w:marTop w:val="0"/>
                                  <w:marBottom w:val="0"/>
                                  <w:divBdr>
                                    <w:top w:val="none" w:sz="0" w:space="0" w:color="auto"/>
                                    <w:left w:val="none" w:sz="0" w:space="0" w:color="auto"/>
                                    <w:bottom w:val="none" w:sz="0" w:space="0" w:color="auto"/>
                                    <w:right w:val="none" w:sz="0" w:space="0" w:color="auto"/>
                                  </w:divBdr>
                                  <w:divsChild>
                                    <w:div w:id="758331640">
                                      <w:marLeft w:val="0"/>
                                      <w:marRight w:val="0"/>
                                      <w:marTop w:val="0"/>
                                      <w:marBottom w:val="0"/>
                                      <w:divBdr>
                                        <w:top w:val="none" w:sz="0" w:space="0" w:color="auto"/>
                                        <w:left w:val="none" w:sz="0" w:space="0" w:color="auto"/>
                                        <w:bottom w:val="none" w:sz="0" w:space="0" w:color="auto"/>
                                        <w:right w:val="none" w:sz="0" w:space="0" w:color="auto"/>
                                      </w:divBdr>
                                      <w:divsChild>
                                        <w:div w:id="1495532902">
                                          <w:marLeft w:val="0"/>
                                          <w:marRight w:val="0"/>
                                          <w:marTop w:val="0"/>
                                          <w:marBottom w:val="0"/>
                                          <w:divBdr>
                                            <w:top w:val="none" w:sz="0" w:space="0" w:color="auto"/>
                                            <w:left w:val="none" w:sz="0" w:space="0" w:color="auto"/>
                                            <w:bottom w:val="none" w:sz="0" w:space="0" w:color="auto"/>
                                            <w:right w:val="none" w:sz="0" w:space="0" w:color="auto"/>
                                          </w:divBdr>
                                          <w:divsChild>
                                            <w:div w:id="397822830">
                                              <w:marLeft w:val="0"/>
                                              <w:marRight w:val="0"/>
                                              <w:marTop w:val="0"/>
                                              <w:marBottom w:val="0"/>
                                              <w:divBdr>
                                                <w:top w:val="none" w:sz="0" w:space="0" w:color="auto"/>
                                                <w:left w:val="none" w:sz="0" w:space="0" w:color="auto"/>
                                                <w:bottom w:val="none" w:sz="0" w:space="0" w:color="auto"/>
                                                <w:right w:val="none" w:sz="0" w:space="0" w:color="auto"/>
                                              </w:divBdr>
                                              <w:divsChild>
                                                <w:div w:id="1603106358">
                                                  <w:marLeft w:val="0"/>
                                                  <w:marRight w:val="0"/>
                                                  <w:marTop w:val="0"/>
                                                  <w:marBottom w:val="0"/>
                                                  <w:divBdr>
                                                    <w:top w:val="none" w:sz="0" w:space="0" w:color="auto"/>
                                                    <w:left w:val="none" w:sz="0" w:space="0" w:color="auto"/>
                                                    <w:bottom w:val="none" w:sz="0" w:space="0" w:color="auto"/>
                                                    <w:right w:val="none" w:sz="0" w:space="0" w:color="auto"/>
                                                  </w:divBdr>
                                                  <w:divsChild>
                                                    <w:div w:id="902184363">
                                                      <w:marLeft w:val="0"/>
                                                      <w:marRight w:val="0"/>
                                                      <w:marTop w:val="0"/>
                                                      <w:marBottom w:val="0"/>
                                                      <w:divBdr>
                                                        <w:top w:val="none" w:sz="0" w:space="0" w:color="auto"/>
                                                        <w:left w:val="none" w:sz="0" w:space="0" w:color="auto"/>
                                                        <w:bottom w:val="none" w:sz="0" w:space="0" w:color="auto"/>
                                                        <w:right w:val="none" w:sz="0" w:space="0" w:color="auto"/>
                                                      </w:divBdr>
                                                    </w:div>
                                                    <w:div w:id="165329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57775147">
      <w:bodyDiv w:val="1"/>
      <w:marLeft w:val="0"/>
      <w:marRight w:val="0"/>
      <w:marTop w:val="0"/>
      <w:marBottom w:val="0"/>
      <w:divBdr>
        <w:top w:val="none" w:sz="0" w:space="0" w:color="auto"/>
        <w:left w:val="none" w:sz="0" w:space="0" w:color="auto"/>
        <w:bottom w:val="none" w:sz="0" w:space="0" w:color="auto"/>
        <w:right w:val="none" w:sz="0" w:space="0" w:color="auto"/>
      </w:divBdr>
    </w:div>
    <w:div w:id="383991872">
      <w:bodyDiv w:val="1"/>
      <w:marLeft w:val="0"/>
      <w:marRight w:val="0"/>
      <w:marTop w:val="0"/>
      <w:marBottom w:val="0"/>
      <w:divBdr>
        <w:top w:val="none" w:sz="0" w:space="0" w:color="auto"/>
        <w:left w:val="none" w:sz="0" w:space="0" w:color="auto"/>
        <w:bottom w:val="none" w:sz="0" w:space="0" w:color="auto"/>
        <w:right w:val="none" w:sz="0" w:space="0" w:color="auto"/>
      </w:divBdr>
    </w:div>
    <w:div w:id="456072498">
      <w:bodyDiv w:val="1"/>
      <w:marLeft w:val="0"/>
      <w:marRight w:val="0"/>
      <w:marTop w:val="0"/>
      <w:marBottom w:val="0"/>
      <w:divBdr>
        <w:top w:val="none" w:sz="0" w:space="0" w:color="auto"/>
        <w:left w:val="none" w:sz="0" w:space="0" w:color="auto"/>
        <w:bottom w:val="none" w:sz="0" w:space="0" w:color="auto"/>
        <w:right w:val="none" w:sz="0" w:space="0" w:color="auto"/>
      </w:divBdr>
    </w:div>
    <w:div w:id="559631131">
      <w:bodyDiv w:val="1"/>
      <w:marLeft w:val="0"/>
      <w:marRight w:val="0"/>
      <w:marTop w:val="0"/>
      <w:marBottom w:val="0"/>
      <w:divBdr>
        <w:top w:val="none" w:sz="0" w:space="0" w:color="auto"/>
        <w:left w:val="none" w:sz="0" w:space="0" w:color="auto"/>
        <w:bottom w:val="none" w:sz="0" w:space="0" w:color="auto"/>
        <w:right w:val="none" w:sz="0" w:space="0" w:color="auto"/>
      </w:divBdr>
    </w:div>
    <w:div w:id="604270682">
      <w:bodyDiv w:val="1"/>
      <w:marLeft w:val="0"/>
      <w:marRight w:val="0"/>
      <w:marTop w:val="0"/>
      <w:marBottom w:val="0"/>
      <w:divBdr>
        <w:top w:val="none" w:sz="0" w:space="0" w:color="auto"/>
        <w:left w:val="none" w:sz="0" w:space="0" w:color="auto"/>
        <w:bottom w:val="none" w:sz="0" w:space="0" w:color="auto"/>
        <w:right w:val="none" w:sz="0" w:space="0" w:color="auto"/>
      </w:divBdr>
    </w:div>
    <w:div w:id="610362345">
      <w:bodyDiv w:val="1"/>
      <w:marLeft w:val="0"/>
      <w:marRight w:val="0"/>
      <w:marTop w:val="0"/>
      <w:marBottom w:val="0"/>
      <w:divBdr>
        <w:top w:val="none" w:sz="0" w:space="0" w:color="auto"/>
        <w:left w:val="none" w:sz="0" w:space="0" w:color="auto"/>
        <w:bottom w:val="none" w:sz="0" w:space="0" w:color="auto"/>
        <w:right w:val="none" w:sz="0" w:space="0" w:color="auto"/>
      </w:divBdr>
      <w:divsChild>
        <w:div w:id="798259513">
          <w:marLeft w:val="0"/>
          <w:marRight w:val="0"/>
          <w:marTop w:val="0"/>
          <w:marBottom w:val="0"/>
          <w:divBdr>
            <w:top w:val="none" w:sz="0" w:space="0" w:color="auto"/>
            <w:left w:val="none" w:sz="0" w:space="0" w:color="auto"/>
            <w:bottom w:val="none" w:sz="0" w:space="0" w:color="auto"/>
            <w:right w:val="none" w:sz="0" w:space="0" w:color="auto"/>
          </w:divBdr>
          <w:divsChild>
            <w:div w:id="1736319760">
              <w:marLeft w:val="0"/>
              <w:marRight w:val="0"/>
              <w:marTop w:val="0"/>
              <w:marBottom w:val="0"/>
              <w:divBdr>
                <w:top w:val="single" w:sz="6" w:space="11" w:color="B4B4B4"/>
                <w:left w:val="single" w:sz="6" w:space="6" w:color="B4B4B4"/>
                <w:bottom w:val="single" w:sz="6" w:space="11" w:color="B4B4B4"/>
                <w:right w:val="single" w:sz="6" w:space="6" w:color="B4B4B4"/>
              </w:divBdr>
            </w:div>
          </w:divsChild>
        </w:div>
      </w:divsChild>
    </w:div>
    <w:div w:id="644360824">
      <w:bodyDiv w:val="1"/>
      <w:marLeft w:val="0"/>
      <w:marRight w:val="0"/>
      <w:marTop w:val="0"/>
      <w:marBottom w:val="0"/>
      <w:divBdr>
        <w:top w:val="none" w:sz="0" w:space="0" w:color="auto"/>
        <w:left w:val="none" w:sz="0" w:space="0" w:color="auto"/>
        <w:bottom w:val="none" w:sz="0" w:space="0" w:color="auto"/>
        <w:right w:val="none" w:sz="0" w:space="0" w:color="auto"/>
      </w:divBdr>
    </w:div>
    <w:div w:id="647443628">
      <w:bodyDiv w:val="1"/>
      <w:marLeft w:val="0"/>
      <w:marRight w:val="0"/>
      <w:marTop w:val="0"/>
      <w:marBottom w:val="0"/>
      <w:divBdr>
        <w:top w:val="none" w:sz="0" w:space="0" w:color="auto"/>
        <w:left w:val="none" w:sz="0" w:space="0" w:color="auto"/>
        <w:bottom w:val="none" w:sz="0" w:space="0" w:color="auto"/>
        <w:right w:val="none" w:sz="0" w:space="0" w:color="auto"/>
      </w:divBdr>
    </w:div>
    <w:div w:id="746153178">
      <w:bodyDiv w:val="1"/>
      <w:marLeft w:val="0"/>
      <w:marRight w:val="0"/>
      <w:marTop w:val="0"/>
      <w:marBottom w:val="0"/>
      <w:divBdr>
        <w:top w:val="none" w:sz="0" w:space="0" w:color="auto"/>
        <w:left w:val="none" w:sz="0" w:space="0" w:color="auto"/>
        <w:bottom w:val="none" w:sz="0" w:space="0" w:color="auto"/>
        <w:right w:val="none" w:sz="0" w:space="0" w:color="auto"/>
      </w:divBdr>
      <w:divsChild>
        <w:div w:id="217865897">
          <w:marLeft w:val="0"/>
          <w:marRight w:val="0"/>
          <w:marTop w:val="0"/>
          <w:marBottom w:val="0"/>
          <w:divBdr>
            <w:top w:val="none" w:sz="0" w:space="0" w:color="auto"/>
            <w:left w:val="none" w:sz="0" w:space="0" w:color="auto"/>
            <w:bottom w:val="none" w:sz="0" w:space="0" w:color="auto"/>
            <w:right w:val="none" w:sz="0" w:space="0" w:color="auto"/>
          </w:divBdr>
          <w:divsChild>
            <w:div w:id="1345552049">
              <w:marLeft w:val="0"/>
              <w:marRight w:val="0"/>
              <w:marTop w:val="0"/>
              <w:marBottom w:val="450"/>
              <w:divBdr>
                <w:top w:val="none" w:sz="0" w:space="0" w:color="auto"/>
                <w:left w:val="none" w:sz="0" w:space="0" w:color="auto"/>
                <w:bottom w:val="none" w:sz="0" w:space="0" w:color="auto"/>
                <w:right w:val="none" w:sz="0" w:space="0" w:color="auto"/>
              </w:divBdr>
              <w:divsChild>
                <w:div w:id="772408342">
                  <w:marLeft w:val="-15"/>
                  <w:marRight w:val="0"/>
                  <w:marTop w:val="0"/>
                  <w:marBottom w:val="750"/>
                  <w:divBdr>
                    <w:top w:val="single" w:sz="6" w:space="0" w:color="E4E4E5"/>
                    <w:left w:val="single" w:sz="6" w:space="0" w:color="E4E4E5"/>
                    <w:bottom w:val="none" w:sz="0" w:space="0" w:color="auto"/>
                    <w:right w:val="none" w:sz="0" w:space="0" w:color="auto"/>
                  </w:divBdr>
                  <w:divsChild>
                    <w:div w:id="1520511650">
                      <w:marLeft w:val="0"/>
                      <w:marRight w:val="0"/>
                      <w:marTop w:val="0"/>
                      <w:marBottom w:val="0"/>
                      <w:divBdr>
                        <w:top w:val="none" w:sz="0" w:space="0" w:color="auto"/>
                        <w:left w:val="none" w:sz="0" w:space="0" w:color="auto"/>
                        <w:bottom w:val="none" w:sz="0" w:space="0" w:color="auto"/>
                        <w:right w:val="none" w:sz="0" w:space="0" w:color="auto"/>
                      </w:divBdr>
                      <w:divsChild>
                        <w:div w:id="1747995479">
                          <w:marLeft w:val="0"/>
                          <w:marRight w:val="0"/>
                          <w:marTop w:val="0"/>
                          <w:marBottom w:val="360"/>
                          <w:divBdr>
                            <w:top w:val="none" w:sz="0" w:space="0" w:color="auto"/>
                            <w:left w:val="none" w:sz="0" w:space="0" w:color="auto"/>
                            <w:bottom w:val="none" w:sz="0" w:space="0" w:color="auto"/>
                            <w:right w:val="none" w:sz="0" w:space="0" w:color="auto"/>
                          </w:divBdr>
                          <w:divsChild>
                            <w:div w:id="1757511188">
                              <w:marLeft w:val="0"/>
                              <w:marRight w:val="0"/>
                              <w:marTop w:val="0"/>
                              <w:marBottom w:val="0"/>
                              <w:divBdr>
                                <w:top w:val="none" w:sz="0" w:space="0" w:color="auto"/>
                                <w:left w:val="none" w:sz="0" w:space="0" w:color="auto"/>
                                <w:bottom w:val="none" w:sz="0" w:space="0" w:color="auto"/>
                                <w:right w:val="none" w:sz="0" w:space="0" w:color="auto"/>
                              </w:divBdr>
                              <w:divsChild>
                                <w:div w:id="1643004285">
                                  <w:marLeft w:val="0"/>
                                  <w:marRight w:val="0"/>
                                  <w:marTop w:val="0"/>
                                  <w:marBottom w:val="0"/>
                                  <w:divBdr>
                                    <w:top w:val="none" w:sz="0" w:space="0" w:color="auto"/>
                                    <w:left w:val="none" w:sz="0" w:space="0" w:color="auto"/>
                                    <w:bottom w:val="none" w:sz="0" w:space="0" w:color="auto"/>
                                    <w:right w:val="none" w:sz="0" w:space="0" w:color="auto"/>
                                  </w:divBdr>
                                  <w:divsChild>
                                    <w:div w:id="80683583">
                                      <w:marLeft w:val="0"/>
                                      <w:marRight w:val="0"/>
                                      <w:marTop w:val="0"/>
                                      <w:marBottom w:val="0"/>
                                      <w:divBdr>
                                        <w:top w:val="none" w:sz="0" w:space="0" w:color="auto"/>
                                        <w:left w:val="none" w:sz="0" w:space="0" w:color="auto"/>
                                        <w:bottom w:val="none" w:sz="0" w:space="0" w:color="auto"/>
                                        <w:right w:val="none" w:sz="0" w:space="0" w:color="auto"/>
                                      </w:divBdr>
                                      <w:divsChild>
                                        <w:div w:id="644940507">
                                          <w:marLeft w:val="0"/>
                                          <w:marRight w:val="0"/>
                                          <w:marTop w:val="0"/>
                                          <w:marBottom w:val="0"/>
                                          <w:divBdr>
                                            <w:top w:val="none" w:sz="0" w:space="0" w:color="auto"/>
                                            <w:left w:val="none" w:sz="0" w:space="0" w:color="auto"/>
                                            <w:bottom w:val="none" w:sz="0" w:space="0" w:color="auto"/>
                                            <w:right w:val="none" w:sz="0" w:space="0" w:color="auto"/>
                                          </w:divBdr>
                                          <w:divsChild>
                                            <w:div w:id="1802529884">
                                              <w:marLeft w:val="0"/>
                                              <w:marRight w:val="0"/>
                                              <w:marTop w:val="0"/>
                                              <w:marBottom w:val="0"/>
                                              <w:divBdr>
                                                <w:top w:val="none" w:sz="0" w:space="0" w:color="auto"/>
                                                <w:left w:val="none" w:sz="0" w:space="0" w:color="auto"/>
                                                <w:bottom w:val="none" w:sz="0" w:space="0" w:color="auto"/>
                                                <w:right w:val="none" w:sz="0" w:space="0" w:color="auto"/>
                                              </w:divBdr>
                                              <w:divsChild>
                                                <w:div w:id="1608273721">
                                                  <w:marLeft w:val="0"/>
                                                  <w:marRight w:val="0"/>
                                                  <w:marTop w:val="0"/>
                                                  <w:marBottom w:val="0"/>
                                                  <w:divBdr>
                                                    <w:top w:val="none" w:sz="0" w:space="0" w:color="auto"/>
                                                    <w:left w:val="none" w:sz="0" w:space="0" w:color="auto"/>
                                                    <w:bottom w:val="none" w:sz="0" w:space="0" w:color="auto"/>
                                                    <w:right w:val="none" w:sz="0" w:space="0" w:color="auto"/>
                                                  </w:divBdr>
                                                  <w:divsChild>
                                                    <w:div w:id="1759063019">
                                                      <w:marLeft w:val="0"/>
                                                      <w:marRight w:val="0"/>
                                                      <w:marTop w:val="0"/>
                                                      <w:marBottom w:val="0"/>
                                                      <w:divBdr>
                                                        <w:top w:val="none" w:sz="0" w:space="0" w:color="auto"/>
                                                        <w:left w:val="none" w:sz="0" w:space="0" w:color="auto"/>
                                                        <w:bottom w:val="none" w:sz="0" w:space="0" w:color="auto"/>
                                                        <w:right w:val="none" w:sz="0" w:space="0" w:color="auto"/>
                                                      </w:divBdr>
                                                      <w:divsChild>
                                                        <w:div w:id="529874811">
                                                          <w:marLeft w:val="0"/>
                                                          <w:marRight w:val="0"/>
                                                          <w:marTop w:val="0"/>
                                                          <w:marBottom w:val="0"/>
                                                          <w:divBdr>
                                                            <w:top w:val="none" w:sz="0" w:space="0" w:color="auto"/>
                                                            <w:left w:val="none" w:sz="0" w:space="0" w:color="auto"/>
                                                            <w:bottom w:val="none" w:sz="0" w:space="0" w:color="auto"/>
                                                            <w:right w:val="none" w:sz="0" w:space="0" w:color="auto"/>
                                                          </w:divBdr>
                                                          <w:divsChild>
                                                            <w:div w:id="14497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93255257">
      <w:bodyDiv w:val="1"/>
      <w:marLeft w:val="0"/>
      <w:marRight w:val="0"/>
      <w:marTop w:val="0"/>
      <w:marBottom w:val="0"/>
      <w:divBdr>
        <w:top w:val="none" w:sz="0" w:space="0" w:color="auto"/>
        <w:left w:val="none" w:sz="0" w:space="0" w:color="auto"/>
        <w:bottom w:val="none" w:sz="0" w:space="0" w:color="auto"/>
        <w:right w:val="none" w:sz="0" w:space="0" w:color="auto"/>
      </w:divBdr>
    </w:div>
    <w:div w:id="797915169">
      <w:bodyDiv w:val="1"/>
      <w:marLeft w:val="0"/>
      <w:marRight w:val="0"/>
      <w:marTop w:val="0"/>
      <w:marBottom w:val="0"/>
      <w:divBdr>
        <w:top w:val="none" w:sz="0" w:space="0" w:color="auto"/>
        <w:left w:val="none" w:sz="0" w:space="0" w:color="auto"/>
        <w:bottom w:val="none" w:sz="0" w:space="0" w:color="auto"/>
        <w:right w:val="none" w:sz="0" w:space="0" w:color="auto"/>
      </w:divBdr>
    </w:div>
    <w:div w:id="829294745">
      <w:bodyDiv w:val="1"/>
      <w:marLeft w:val="0"/>
      <w:marRight w:val="0"/>
      <w:marTop w:val="0"/>
      <w:marBottom w:val="0"/>
      <w:divBdr>
        <w:top w:val="none" w:sz="0" w:space="0" w:color="auto"/>
        <w:left w:val="none" w:sz="0" w:space="0" w:color="auto"/>
        <w:bottom w:val="none" w:sz="0" w:space="0" w:color="auto"/>
        <w:right w:val="none" w:sz="0" w:space="0" w:color="auto"/>
      </w:divBdr>
    </w:div>
    <w:div w:id="880362790">
      <w:bodyDiv w:val="1"/>
      <w:marLeft w:val="0"/>
      <w:marRight w:val="0"/>
      <w:marTop w:val="0"/>
      <w:marBottom w:val="0"/>
      <w:divBdr>
        <w:top w:val="none" w:sz="0" w:space="0" w:color="auto"/>
        <w:left w:val="none" w:sz="0" w:space="0" w:color="auto"/>
        <w:bottom w:val="none" w:sz="0" w:space="0" w:color="auto"/>
        <w:right w:val="none" w:sz="0" w:space="0" w:color="auto"/>
      </w:divBdr>
      <w:divsChild>
        <w:div w:id="743069290">
          <w:marLeft w:val="0"/>
          <w:marRight w:val="0"/>
          <w:marTop w:val="0"/>
          <w:marBottom w:val="0"/>
          <w:divBdr>
            <w:top w:val="none" w:sz="0" w:space="0" w:color="auto"/>
            <w:left w:val="none" w:sz="0" w:space="0" w:color="auto"/>
            <w:bottom w:val="none" w:sz="0" w:space="0" w:color="auto"/>
            <w:right w:val="none" w:sz="0" w:space="0" w:color="auto"/>
          </w:divBdr>
          <w:divsChild>
            <w:div w:id="1348554295">
              <w:marLeft w:val="0"/>
              <w:marRight w:val="0"/>
              <w:marTop w:val="0"/>
              <w:marBottom w:val="0"/>
              <w:divBdr>
                <w:top w:val="none" w:sz="0" w:space="0" w:color="auto"/>
                <w:left w:val="none" w:sz="0" w:space="0" w:color="auto"/>
                <w:bottom w:val="none" w:sz="0" w:space="0" w:color="auto"/>
                <w:right w:val="none" w:sz="0" w:space="0" w:color="auto"/>
              </w:divBdr>
              <w:divsChild>
                <w:div w:id="92461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217156">
      <w:bodyDiv w:val="1"/>
      <w:marLeft w:val="0"/>
      <w:marRight w:val="0"/>
      <w:marTop w:val="0"/>
      <w:marBottom w:val="0"/>
      <w:divBdr>
        <w:top w:val="none" w:sz="0" w:space="0" w:color="auto"/>
        <w:left w:val="none" w:sz="0" w:space="0" w:color="auto"/>
        <w:bottom w:val="none" w:sz="0" w:space="0" w:color="auto"/>
        <w:right w:val="none" w:sz="0" w:space="0" w:color="auto"/>
      </w:divBdr>
    </w:div>
    <w:div w:id="1022324219">
      <w:bodyDiv w:val="1"/>
      <w:marLeft w:val="0"/>
      <w:marRight w:val="0"/>
      <w:marTop w:val="0"/>
      <w:marBottom w:val="0"/>
      <w:divBdr>
        <w:top w:val="none" w:sz="0" w:space="0" w:color="auto"/>
        <w:left w:val="none" w:sz="0" w:space="0" w:color="auto"/>
        <w:bottom w:val="none" w:sz="0" w:space="0" w:color="auto"/>
        <w:right w:val="none" w:sz="0" w:space="0" w:color="auto"/>
      </w:divBdr>
    </w:div>
    <w:div w:id="1061367789">
      <w:bodyDiv w:val="1"/>
      <w:marLeft w:val="0"/>
      <w:marRight w:val="0"/>
      <w:marTop w:val="0"/>
      <w:marBottom w:val="0"/>
      <w:divBdr>
        <w:top w:val="none" w:sz="0" w:space="0" w:color="auto"/>
        <w:left w:val="none" w:sz="0" w:space="0" w:color="auto"/>
        <w:bottom w:val="none" w:sz="0" w:space="0" w:color="auto"/>
        <w:right w:val="none" w:sz="0" w:space="0" w:color="auto"/>
      </w:divBdr>
    </w:div>
    <w:div w:id="1090545170">
      <w:bodyDiv w:val="1"/>
      <w:marLeft w:val="0"/>
      <w:marRight w:val="0"/>
      <w:marTop w:val="0"/>
      <w:marBottom w:val="0"/>
      <w:divBdr>
        <w:top w:val="none" w:sz="0" w:space="0" w:color="auto"/>
        <w:left w:val="none" w:sz="0" w:space="0" w:color="auto"/>
        <w:bottom w:val="none" w:sz="0" w:space="0" w:color="auto"/>
        <w:right w:val="none" w:sz="0" w:space="0" w:color="auto"/>
      </w:divBdr>
    </w:div>
    <w:div w:id="1091773640">
      <w:bodyDiv w:val="1"/>
      <w:marLeft w:val="0"/>
      <w:marRight w:val="0"/>
      <w:marTop w:val="0"/>
      <w:marBottom w:val="0"/>
      <w:divBdr>
        <w:top w:val="none" w:sz="0" w:space="0" w:color="auto"/>
        <w:left w:val="none" w:sz="0" w:space="0" w:color="auto"/>
        <w:bottom w:val="none" w:sz="0" w:space="0" w:color="auto"/>
        <w:right w:val="none" w:sz="0" w:space="0" w:color="auto"/>
      </w:divBdr>
      <w:divsChild>
        <w:div w:id="265237319">
          <w:marLeft w:val="0"/>
          <w:marRight w:val="0"/>
          <w:marTop w:val="0"/>
          <w:marBottom w:val="0"/>
          <w:divBdr>
            <w:top w:val="none" w:sz="0" w:space="0" w:color="auto"/>
            <w:left w:val="none" w:sz="0" w:space="0" w:color="auto"/>
            <w:bottom w:val="none" w:sz="0" w:space="0" w:color="auto"/>
            <w:right w:val="none" w:sz="0" w:space="0" w:color="auto"/>
          </w:divBdr>
          <w:divsChild>
            <w:div w:id="691031072">
              <w:marLeft w:val="0"/>
              <w:marRight w:val="0"/>
              <w:marTop w:val="0"/>
              <w:marBottom w:val="0"/>
              <w:divBdr>
                <w:top w:val="none" w:sz="0" w:space="0" w:color="auto"/>
                <w:left w:val="none" w:sz="0" w:space="0" w:color="auto"/>
                <w:bottom w:val="none" w:sz="0" w:space="0" w:color="auto"/>
                <w:right w:val="none" w:sz="0" w:space="0" w:color="auto"/>
              </w:divBdr>
              <w:divsChild>
                <w:div w:id="524683893">
                  <w:marLeft w:val="0"/>
                  <w:marRight w:val="0"/>
                  <w:marTop w:val="0"/>
                  <w:marBottom w:val="0"/>
                  <w:divBdr>
                    <w:top w:val="none" w:sz="0" w:space="0" w:color="auto"/>
                    <w:left w:val="none" w:sz="0" w:space="0" w:color="auto"/>
                    <w:bottom w:val="none" w:sz="0" w:space="0" w:color="auto"/>
                    <w:right w:val="none" w:sz="0" w:space="0" w:color="auto"/>
                  </w:divBdr>
                  <w:divsChild>
                    <w:div w:id="903755007">
                      <w:marLeft w:val="0"/>
                      <w:marRight w:val="0"/>
                      <w:marTop w:val="0"/>
                      <w:marBottom w:val="0"/>
                      <w:divBdr>
                        <w:top w:val="none" w:sz="0" w:space="0" w:color="auto"/>
                        <w:left w:val="none" w:sz="0" w:space="0" w:color="auto"/>
                        <w:bottom w:val="none" w:sz="0" w:space="0" w:color="auto"/>
                        <w:right w:val="none" w:sz="0" w:space="0" w:color="auto"/>
                      </w:divBdr>
                      <w:divsChild>
                        <w:div w:id="2056152379">
                          <w:marLeft w:val="0"/>
                          <w:marRight w:val="0"/>
                          <w:marTop w:val="0"/>
                          <w:marBottom w:val="0"/>
                          <w:divBdr>
                            <w:top w:val="none" w:sz="0" w:space="0" w:color="auto"/>
                            <w:left w:val="none" w:sz="0" w:space="0" w:color="auto"/>
                            <w:bottom w:val="none" w:sz="0" w:space="0" w:color="auto"/>
                            <w:right w:val="none" w:sz="0" w:space="0" w:color="auto"/>
                          </w:divBdr>
                          <w:divsChild>
                            <w:div w:id="1446461371">
                              <w:marLeft w:val="0"/>
                              <w:marRight w:val="0"/>
                              <w:marTop w:val="0"/>
                              <w:marBottom w:val="0"/>
                              <w:divBdr>
                                <w:top w:val="none" w:sz="0" w:space="0" w:color="auto"/>
                                <w:left w:val="none" w:sz="0" w:space="0" w:color="auto"/>
                                <w:bottom w:val="none" w:sz="0" w:space="0" w:color="auto"/>
                                <w:right w:val="none" w:sz="0" w:space="0" w:color="auto"/>
                              </w:divBdr>
                              <w:divsChild>
                                <w:div w:id="134490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4597281">
      <w:bodyDiv w:val="1"/>
      <w:marLeft w:val="0"/>
      <w:marRight w:val="0"/>
      <w:marTop w:val="0"/>
      <w:marBottom w:val="0"/>
      <w:divBdr>
        <w:top w:val="none" w:sz="0" w:space="0" w:color="auto"/>
        <w:left w:val="none" w:sz="0" w:space="0" w:color="auto"/>
        <w:bottom w:val="none" w:sz="0" w:space="0" w:color="auto"/>
        <w:right w:val="none" w:sz="0" w:space="0" w:color="auto"/>
      </w:divBdr>
    </w:div>
    <w:div w:id="1186745262">
      <w:bodyDiv w:val="1"/>
      <w:marLeft w:val="0"/>
      <w:marRight w:val="0"/>
      <w:marTop w:val="0"/>
      <w:marBottom w:val="0"/>
      <w:divBdr>
        <w:top w:val="none" w:sz="0" w:space="0" w:color="auto"/>
        <w:left w:val="none" w:sz="0" w:space="0" w:color="auto"/>
        <w:bottom w:val="none" w:sz="0" w:space="0" w:color="auto"/>
        <w:right w:val="none" w:sz="0" w:space="0" w:color="auto"/>
      </w:divBdr>
    </w:div>
    <w:div w:id="1228300621">
      <w:bodyDiv w:val="1"/>
      <w:marLeft w:val="0"/>
      <w:marRight w:val="0"/>
      <w:marTop w:val="0"/>
      <w:marBottom w:val="0"/>
      <w:divBdr>
        <w:top w:val="none" w:sz="0" w:space="0" w:color="auto"/>
        <w:left w:val="none" w:sz="0" w:space="0" w:color="auto"/>
        <w:bottom w:val="none" w:sz="0" w:space="0" w:color="auto"/>
        <w:right w:val="none" w:sz="0" w:space="0" w:color="auto"/>
      </w:divBdr>
    </w:div>
    <w:div w:id="1253932451">
      <w:bodyDiv w:val="1"/>
      <w:marLeft w:val="0"/>
      <w:marRight w:val="0"/>
      <w:marTop w:val="0"/>
      <w:marBottom w:val="0"/>
      <w:divBdr>
        <w:top w:val="none" w:sz="0" w:space="0" w:color="auto"/>
        <w:left w:val="none" w:sz="0" w:space="0" w:color="auto"/>
        <w:bottom w:val="none" w:sz="0" w:space="0" w:color="auto"/>
        <w:right w:val="none" w:sz="0" w:space="0" w:color="auto"/>
      </w:divBdr>
      <w:divsChild>
        <w:div w:id="1239052161">
          <w:marLeft w:val="0"/>
          <w:marRight w:val="0"/>
          <w:marTop w:val="0"/>
          <w:marBottom w:val="0"/>
          <w:divBdr>
            <w:top w:val="none" w:sz="0" w:space="0" w:color="auto"/>
            <w:left w:val="none" w:sz="0" w:space="0" w:color="auto"/>
            <w:bottom w:val="none" w:sz="0" w:space="0" w:color="auto"/>
            <w:right w:val="none" w:sz="0" w:space="0" w:color="auto"/>
          </w:divBdr>
          <w:divsChild>
            <w:div w:id="1891183941">
              <w:marLeft w:val="0"/>
              <w:marRight w:val="0"/>
              <w:marTop w:val="0"/>
              <w:marBottom w:val="450"/>
              <w:divBdr>
                <w:top w:val="none" w:sz="0" w:space="0" w:color="auto"/>
                <w:left w:val="none" w:sz="0" w:space="0" w:color="auto"/>
                <w:bottom w:val="none" w:sz="0" w:space="0" w:color="auto"/>
                <w:right w:val="none" w:sz="0" w:space="0" w:color="auto"/>
              </w:divBdr>
              <w:divsChild>
                <w:div w:id="1154905926">
                  <w:marLeft w:val="-15"/>
                  <w:marRight w:val="0"/>
                  <w:marTop w:val="0"/>
                  <w:marBottom w:val="750"/>
                  <w:divBdr>
                    <w:top w:val="single" w:sz="6" w:space="0" w:color="E4E4E5"/>
                    <w:left w:val="single" w:sz="6" w:space="0" w:color="E4E4E5"/>
                    <w:bottom w:val="none" w:sz="0" w:space="0" w:color="auto"/>
                    <w:right w:val="none" w:sz="0" w:space="0" w:color="auto"/>
                  </w:divBdr>
                  <w:divsChild>
                    <w:div w:id="1603294929">
                      <w:marLeft w:val="0"/>
                      <w:marRight w:val="0"/>
                      <w:marTop w:val="0"/>
                      <w:marBottom w:val="0"/>
                      <w:divBdr>
                        <w:top w:val="none" w:sz="0" w:space="0" w:color="auto"/>
                        <w:left w:val="none" w:sz="0" w:space="0" w:color="auto"/>
                        <w:bottom w:val="none" w:sz="0" w:space="0" w:color="auto"/>
                        <w:right w:val="none" w:sz="0" w:space="0" w:color="auto"/>
                      </w:divBdr>
                      <w:divsChild>
                        <w:div w:id="1868179735">
                          <w:marLeft w:val="0"/>
                          <w:marRight w:val="0"/>
                          <w:marTop w:val="0"/>
                          <w:marBottom w:val="360"/>
                          <w:divBdr>
                            <w:top w:val="none" w:sz="0" w:space="0" w:color="auto"/>
                            <w:left w:val="none" w:sz="0" w:space="0" w:color="auto"/>
                            <w:bottom w:val="none" w:sz="0" w:space="0" w:color="auto"/>
                            <w:right w:val="none" w:sz="0" w:space="0" w:color="auto"/>
                          </w:divBdr>
                          <w:divsChild>
                            <w:div w:id="673529776">
                              <w:marLeft w:val="0"/>
                              <w:marRight w:val="0"/>
                              <w:marTop w:val="0"/>
                              <w:marBottom w:val="0"/>
                              <w:divBdr>
                                <w:top w:val="none" w:sz="0" w:space="0" w:color="auto"/>
                                <w:left w:val="none" w:sz="0" w:space="0" w:color="auto"/>
                                <w:bottom w:val="none" w:sz="0" w:space="0" w:color="auto"/>
                                <w:right w:val="none" w:sz="0" w:space="0" w:color="auto"/>
                              </w:divBdr>
                              <w:divsChild>
                                <w:div w:id="1761482411">
                                  <w:marLeft w:val="0"/>
                                  <w:marRight w:val="0"/>
                                  <w:marTop w:val="0"/>
                                  <w:marBottom w:val="0"/>
                                  <w:divBdr>
                                    <w:top w:val="none" w:sz="0" w:space="0" w:color="auto"/>
                                    <w:left w:val="none" w:sz="0" w:space="0" w:color="auto"/>
                                    <w:bottom w:val="none" w:sz="0" w:space="0" w:color="auto"/>
                                    <w:right w:val="none" w:sz="0" w:space="0" w:color="auto"/>
                                  </w:divBdr>
                                  <w:divsChild>
                                    <w:div w:id="2042779763">
                                      <w:marLeft w:val="0"/>
                                      <w:marRight w:val="0"/>
                                      <w:marTop w:val="0"/>
                                      <w:marBottom w:val="0"/>
                                      <w:divBdr>
                                        <w:top w:val="none" w:sz="0" w:space="0" w:color="auto"/>
                                        <w:left w:val="none" w:sz="0" w:space="0" w:color="auto"/>
                                        <w:bottom w:val="none" w:sz="0" w:space="0" w:color="auto"/>
                                        <w:right w:val="none" w:sz="0" w:space="0" w:color="auto"/>
                                      </w:divBdr>
                                      <w:divsChild>
                                        <w:div w:id="1508906439">
                                          <w:marLeft w:val="0"/>
                                          <w:marRight w:val="0"/>
                                          <w:marTop w:val="0"/>
                                          <w:marBottom w:val="0"/>
                                          <w:divBdr>
                                            <w:top w:val="none" w:sz="0" w:space="0" w:color="auto"/>
                                            <w:left w:val="none" w:sz="0" w:space="0" w:color="auto"/>
                                            <w:bottom w:val="none" w:sz="0" w:space="0" w:color="auto"/>
                                            <w:right w:val="none" w:sz="0" w:space="0" w:color="auto"/>
                                          </w:divBdr>
                                          <w:divsChild>
                                            <w:div w:id="2066104116">
                                              <w:marLeft w:val="0"/>
                                              <w:marRight w:val="0"/>
                                              <w:marTop w:val="0"/>
                                              <w:marBottom w:val="0"/>
                                              <w:divBdr>
                                                <w:top w:val="none" w:sz="0" w:space="0" w:color="auto"/>
                                                <w:left w:val="none" w:sz="0" w:space="0" w:color="auto"/>
                                                <w:bottom w:val="none" w:sz="0" w:space="0" w:color="auto"/>
                                                <w:right w:val="none" w:sz="0" w:space="0" w:color="auto"/>
                                              </w:divBdr>
                                              <w:divsChild>
                                                <w:div w:id="511259725">
                                                  <w:marLeft w:val="0"/>
                                                  <w:marRight w:val="0"/>
                                                  <w:marTop w:val="0"/>
                                                  <w:marBottom w:val="0"/>
                                                  <w:divBdr>
                                                    <w:top w:val="none" w:sz="0" w:space="0" w:color="auto"/>
                                                    <w:left w:val="none" w:sz="0" w:space="0" w:color="auto"/>
                                                    <w:bottom w:val="none" w:sz="0" w:space="0" w:color="auto"/>
                                                    <w:right w:val="none" w:sz="0" w:space="0" w:color="auto"/>
                                                  </w:divBdr>
                                                  <w:divsChild>
                                                    <w:div w:id="617297417">
                                                      <w:marLeft w:val="0"/>
                                                      <w:marRight w:val="0"/>
                                                      <w:marTop w:val="0"/>
                                                      <w:marBottom w:val="0"/>
                                                      <w:divBdr>
                                                        <w:top w:val="none" w:sz="0" w:space="0" w:color="auto"/>
                                                        <w:left w:val="none" w:sz="0" w:space="0" w:color="auto"/>
                                                        <w:bottom w:val="none" w:sz="0" w:space="0" w:color="auto"/>
                                                        <w:right w:val="none" w:sz="0" w:space="0" w:color="auto"/>
                                                      </w:divBdr>
                                                      <w:divsChild>
                                                        <w:div w:id="131288844">
                                                          <w:marLeft w:val="0"/>
                                                          <w:marRight w:val="0"/>
                                                          <w:marTop w:val="0"/>
                                                          <w:marBottom w:val="0"/>
                                                          <w:divBdr>
                                                            <w:top w:val="none" w:sz="0" w:space="0" w:color="auto"/>
                                                            <w:left w:val="none" w:sz="0" w:space="0" w:color="auto"/>
                                                            <w:bottom w:val="none" w:sz="0" w:space="0" w:color="auto"/>
                                                            <w:right w:val="none" w:sz="0" w:space="0" w:color="auto"/>
                                                          </w:divBdr>
                                                          <w:divsChild>
                                                            <w:div w:id="135603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78760558">
      <w:bodyDiv w:val="1"/>
      <w:marLeft w:val="0"/>
      <w:marRight w:val="0"/>
      <w:marTop w:val="0"/>
      <w:marBottom w:val="0"/>
      <w:divBdr>
        <w:top w:val="none" w:sz="0" w:space="0" w:color="auto"/>
        <w:left w:val="none" w:sz="0" w:space="0" w:color="auto"/>
        <w:bottom w:val="none" w:sz="0" w:space="0" w:color="auto"/>
        <w:right w:val="none" w:sz="0" w:space="0" w:color="auto"/>
      </w:divBdr>
    </w:div>
    <w:div w:id="1336494681">
      <w:bodyDiv w:val="1"/>
      <w:marLeft w:val="0"/>
      <w:marRight w:val="0"/>
      <w:marTop w:val="0"/>
      <w:marBottom w:val="0"/>
      <w:divBdr>
        <w:top w:val="none" w:sz="0" w:space="0" w:color="auto"/>
        <w:left w:val="none" w:sz="0" w:space="0" w:color="auto"/>
        <w:bottom w:val="none" w:sz="0" w:space="0" w:color="auto"/>
        <w:right w:val="none" w:sz="0" w:space="0" w:color="auto"/>
      </w:divBdr>
    </w:div>
    <w:div w:id="1357151011">
      <w:bodyDiv w:val="1"/>
      <w:marLeft w:val="0"/>
      <w:marRight w:val="0"/>
      <w:marTop w:val="0"/>
      <w:marBottom w:val="0"/>
      <w:divBdr>
        <w:top w:val="none" w:sz="0" w:space="0" w:color="auto"/>
        <w:left w:val="none" w:sz="0" w:space="0" w:color="auto"/>
        <w:bottom w:val="none" w:sz="0" w:space="0" w:color="auto"/>
        <w:right w:val="none" w:sz="0" w:space="0" w:color="auto"/>
      </w:divBdr>
    </w:div>
    <w:div w:id="1368289029">
      <w:bodyDiv w:val="1"/>
      <w:marLeft w:val="0"/>
      <w:marRight w:val="0"/>
      <w:marTop w:val="0"/>
      <w:marBottom w:val="0"/>
      <w:divBdr>
        <w:top w:val="none" w:sz="0" w:space="0" w:color="auto"/>
        <w:left w:val="none" w:sz="0" w:space="0" w:color="auto"/>
        <w:bottom w:val="none" w:sz="0" w:space="0" w:color="auto"/>
        <w:right w:val="none" w:sz="0" w:space="0" w:color="auto"/>
      </w:divBdr>
      <w:divsChild>
        <w:div w:id="666174413">
          <w:marLeft w:val="0"/>
          <w:marRight w:val="0"/>
          <w:marTop w:val="0"/>
          <w:marBottom w:val="0"/>
          <w:divBdr>
            <w:top w:val="none" w:sz="0" w:space="0" w:color="auto"/>
            <w:left w:val="none" w:sz="0" w:space="0" w:color="auto"/>
            <w:bottom w:val="none" w:sz="0" w:space="0" w:color="auto"/>
            <w:right w:val="none" w:sz="0" w:space="0" w:color="auto"/>
          </w:divBdr>
          <w:divsChild>
            <w:div w:id="226113347">
              <w:marLeft w:val="0"/>
              <w:marRight w:val="1"/>
              <w:marTop w:val="0"/>
              <w:marBottom w:val="0"/>
              <w:divBdr>
                <w:top w:val="none" w:sz="0" w:space="0" w:color="auto"/>
                <w:left w:val="none" w:sz="0" w:space="0" w:color="auto"/>
                <w:bottom w:val="none" w:sz="0" w:space="0" w:color="auto"/>
                <w:right w:val="none" w:sz="0" w:space="0" w:color="auto"/>
              </w:divBdr>
              <w:divsChild>
                <w:div w:id="642465073">
                  <w:marLeft w:val="384"/>
                  <w:marRight w:val="384"/>
                  <w:marTop w:val="0"/>
                  <w:marBottom w:val="0"/>
                  <w:divBdr>
                    <w:top w:val="none" w:sz="0" w:space="0" w:color="auto"/>
                    <w:left w:val="none" w:sz="0" w:space="0" w:color="auto"/>
                    <w:bottom w:val="none" w:sz="0" w:space="0" w:color="auto"/>
                    <w:right w:val="none" w:sz="0" w:space="0" w:color="auto"/>
                  </w:divBdr>
                  <w:divsChild>
                    <w:div w:id="1356812011">
                      <w:marLeft w:val="0"/>
                      <w:marRight w:val="1"/>
                      <w:marTop w:val="0"/>
                      <w:marBottom w:val="0"/>
                      <w:divBdr>
                        <w:top w:val="none" w:sz="0" w:space="0" w:color="auto"/>
                        <w:left w:val="none" w:sz="0" w:space="0" w:color="auto"/>
                        <w:bottom w:val="none" w:sz="0" w:space="0" w:color="auto"/>
                        <w:right w:val="none" w:sz="0" w:space="0" w:color="auto"/>
                      </w:divBdr>
                      <w:divsChild>
                        <w:div w:id="1712459352">
                          <w:marLeft w:val="0"/>
                          <w:marRight w:val="0"/>
                          <w:marTop w:val="0"/>
                          <w:marBottom w:val="0"/>
                          <w:divBdr>
                            <w:top w:val="none" w:sz="0" w:space="0" w:color="auto"/>
                            <w:left w:val="none" w:sz="0" w:space="0" w:color="auto"/>
                            <w:bottom w:val="none" w:sz="0" w:space="0" w:color="auto"/>
                            <w:right w:val="none" w:sz="0" w:space="0" w:color="auto"/>
                          </w:divBdr>
                          <w:divsChild>
                            <w:div w:id="1422264914">
                              <w:marLeft w:val="0"/>
                              <w:marRight w:val="0"/>
                              <w:marTop w:val="0"/>
                              <w:marBottom w:val="0"/>
                              <w:divBdr>
                                <w:top w:val="single" w:sz="6" w:space="8" w:color="EE8888"/>
                                <w:left w:val="single" w:sz="6" w:space="8" w:color="EE8888"/>
                                <w:bottom w:val="single" w:sz="6" w:space="8" w:color="EE8888"/>
                                <w:right w:val="single" w:sz="6" w:space="8" w:color="EE8888"/>
                              </w:divBdr>
                              <w:divsChild>
                                <w:div w:id="280308804">
                                  <w:marLeft w:val="0"/>
                                  <w:marRight w:val="0"/>
                                  <w:marTop w:val="120"/>
                                  <w:marBottom w:val="360"/>
                                  <w:divBdr>
                                    <w:top w:val="none" w:sz="0" w:space="0" w:color="auto"/>
                                    <w:left w:val="none" w:sz="0" w:space="0" w:color="auto"/>
                                    <w:bottom w:val="none" w:sz="0" w:space="0" w:color="auto"/>
                                    <w:right w:val="none" w:sz="0" w:space="0" w:color="auto"/>
                                  </w:divBdr>
                                  <w:divsChild>
                                    <w:div w:id="94604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8475318">
      <w:bodyDiv w:val="1"/>
      <w:marLeft w:val="0"/>
      <w:marRight w:val="0"/>
      <w:marTop w:val="0"/>
      <w:marBottom w:val="0"/>
      <w:divBdr>
        <w:top w:val="none" w:sz="0" w:space="0" w:color="auto"/>
        <w:left w:val="none" w:sz="0" w:space="0" w:color="auto"/>
        <w:bottom w:val="none" w:sz="0" w:space="0" w:color="auto"/>
        <w:right w:val="none" w:sz="0" w:space="0" w:color="auto"/>
      </w:divBdr>
      <w:divsChild>
        <w:div w:id="1204370615">
          <w:marLeft w:val="0"/>
          <w:marRight w:val="0"/>
          <w:marTop w:val="0"/>
          <w:marBottom w:val="0"/>
          <w:divBdr>
            <w:top w:val="none" w:sz="0" w:space="0" w:color="auto"/>
            <w:left w:val="single" w:sz="6" w:space="0" w:color="C9CACC"/>
            <w:bottom w:val="none" w:sz="0" w:space="0" w:color="auto"/>
            <w:right w:val="single" w:sz="6" w:space="0" w:color="C9CACC"/>
          </w:divBdr>
          <w:divsChild>
            <w:div w:id="700277635">
              <w:marLeft w:val="0"/>
              <w:marRight w:val="0"/>
              <w:marTop w:val="0"/>
              <w:marBottom w:val="0"/>
              <w:divBdr>
                <w:top w:val="none" w:sz="0" w:space="0" w:color="auto"/>
                <w:left w:val="none" w:sz="0" w:space="0" w:color="auto"/>
                <w:bottom w:val="none" w:sz="0" w:space="0" w:color="auto"/>
                <w:right w:val="none" w:sz="0" w:space="0" w:color="auto"/>
              </w:divBdr>
              <w:divsChild>
                <w:div w:id="692612285">
                  <w:marLeft w:val="0"/>
                  <w:marRight w:val="1800"/>
                  <w:marTop w:val="1170"/>
                  <w:marBottom w:val="1125"/>
                  <w:divBdr>
                    <w:top w:val="none" w:sz="0" w:space="0" w:color="auto"/>
                    <w:left w:val="none" w:sz="0" w:space="0" w:color="auto"/>
                    <w:bottom w:val="none" w:sz="0" w:space="0" w:color="auto"/>
                    <w:right w:val="none" w:sz="0" w:space="0" w:color="auto"/>
                  </w:divBdr>
                </w:div>
              </w:divsChild>
            </w:div>
          </w:divsChild>
        </w:div>
      </w:divsChild>
    </w:div>
    <w:div w:id="1443501227">
      <w:bodyDiv w:val="1"/>
      <w:marLeft w:val="0"/>
      <w:marRight w:val="0"/>
      <w:marTop w:val="0"/>
      <w:marBottom w:val="0"/>
      <w:divBdr>
        <w:top w:val="none" w:sz="0" w:space="0" w:color="auto"/>
        <w:left w:val="none" w:sz="0" w:space="0" w:color="auto"/>
        <w:bottom w:val="none" w:sz="0" w:space="0" w:color="auto"/>
        <w:right w:val="none" w:sz="0" w:space="0" w:color="auto"/>
      </w:divBdr>
      <w:divsChild>
        <w:div w:id="1871332225">
          <w:marLeft w:val="0"/>
          <w:marRight w:val="0"/>
          <w:marTop w:val="0"/>
          <w:marBottom w:val="0"/>
          <w:divBdr>
            <w:top w:val="none" w:sz="0" w:space="0" w:color="auto"/>
            <w:left w:val="none" w:sz="0" w:space="0" w:color="auto"/>
            <w:bottom w:val="none" w:sz="0" w:space="0" w:color="auto"/>
            <w:right w:val="none" w:sz="0" w:space="0" w:color="auto"/>
          </w:divBdr>
          <w:divsChild>
            <w:div w:id="352155009">
              <w:marLeft w:val="0"/>
              <w:marRight w:val="0"/>
              <w:marTop w:val="0"/>
              <w:marBottom w:val="0"/>
              <w:divBdr>
                <w:top w:val="none" w:sz="0" w:space="0" w:color="auto"/>
                <w:left w:val="none" w:sz="0" w:space="0" w:color="auto"/>
                <w:bottom w:val="none" w:sz="0" w:space="0" w:color="auto"/>
                <w:right w:val="none" w:sz="0" w:space="0" w:color="auto"/>
              </w:divBdr>
              <w:divsChild>
                <w:div w:id="1721057128">
                  <w:marLeft w:val="0"/>
                  <w:marRight w:val="0"/>
                  <w:marTop w:val="0"/>
                  <w:marBottom w:val="0"/>
                  <w:divBdr>
                    <w:top w:val="none" w:sz="0" w:space="0" w:color="auto"/>
                    <w:left w:val="none" w:sz="0" w:space="0" w:color="auto"/>
                    <w:bottom w:val="none" w:sz="0" w:space="0" w:color="auto"/>
                    <w:right w:val="none" w:sz="0" w:space="0" w:color="auto"/>
                  </w:divBdr>
                  <w:divsChild>
                    <w:div w:id="1713964035">
                      <w:marLeft w:val="0"/>
                      <w:marRight w:val="0"/>
                      <w:marTop w:val="0"/>
                      <w:marBottom w:val="0"/>
                      <w:divBdr>
                        <w:top w:val="none" w:sz="0" w:space="0" w:color="auto"/>
                        <w:left w:val="none" w:sz="0" w:space="0" w:color="auto"/>
                        <w:bottom w:val="none" w:sz="0" w:space="0" w:color="auto"/>
                        <w:right w:val="none" w:sz="0" w:space="0" w:color="auto"/>
                      </w:divBdr>
                      <w:divsChild>
                        <w:div w:id="2056925263">
                          <w:marLeft w:val="0"/>
                          <w:marRight w:val="0"/>
                          <w:marTop w:val="0"/>
                          <w:marBottom w:val="0"/>
                          <w:divBdr>
                            <w:top w:val="none" w:sz="0" w:space="0" w:color="auto"/>
                            <w:left w:val="none" w:sz="0" w:space="0" w:color="auto"/>
                            <w:bottom w:val="none" w:sz="0" w:space="0" w:color="auto"/>
                            <w:right w:val="none" w:sz="0" w:space="0" w:color="auto"/>
                          </w:divBdr>
                          <w:divsChild>
                            <w:div w:id="5157299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6146414">
      <w:bodyDiv w:val="1"/>
      <w:marLeft w:val="0"/>
      <w:marRight w:val="0"/>
      <w:marTop w:val="0"/>
      <w:marBottom w:val="0"/>
      <w:divBdr>
        <w:top w:val="none" w:sz="0" w:space="0" w:color="auto"/>
        <w:left w:val="none" w:sz="0" w:space="0" w:color="auto"/>
        <w:bottom w:val="none" w:sz="0" w:space="0" w:color="auto"/>
        <w:right w:val="none" w:sz="0" w:space="0" w:color="auto"/>
      </w:divBdr>
    </w:div>
    <w:div w:id="1500464440">
      <w:bodyDiv w:val="1"/>
      <w:marLeft w:val="0"/>
      <w:marRight w:val="0"/>
      <w:marTop w:val="0"/>
      <w:marBottom w:val="0"/>
      <w:divBdr>
        <w:top w:val="none" w:sz="0" w:space="0" w:color="auto"/>
        <w:left w:val="none" w:sz="0" w:space="0" w:color="auto"/>
        <w:bottom w:val="none" w:sz="0" w:space="0" w:color="auto"/>
        <w:right w:val="none" w:sz="0" w:space="0" w:color="auto"/>
      </w:divBdr>
    </w:div>
    <w:div w:id="1525510078">
      <w:bodyDiv w:val="1"/>
      <w:marLeft w:val="0"/>
      <w:marRight w:val="0"/>
      <w:marTop w:val="0"/>
      <w:marBottom w:val="0"/>
      <w:divBdr>
        <w:top w:val="none" w:sz="0" w:space="0" w:color="auto"/>
        <w:left w:val="none" w:sz="0" w:space="0" w:color="auto"/>
        <w:bottom w:val="none" w:sz="0" w:space="0" w:color="auto"/>
        <w:right w:val="none" w:sz="0" w:space="0" w:color="auto"/>
      </w:divBdr>
    </w:div>
    <w:div w:id="1535264685">
      <w:bodyDiv w:val="1"/>
      <w:marLeft w:val="0"/>
      <w:marRight w:val="0"/>
      <w:marTop w:val="0"/>
      <w:marBottom w:val="0"/>
      <w:divBdr>
        <w:top w:val="none" w:sz="0" w:space="0" w:color="auto"/>
        <w:left w:val="none" w:sz="0" w:space="0" w:color="auto"/>
        <w:bottom w:val="none" w:sz="0" w:space="0" w:color="auto"/>
        <w:right w:val="none" w:sz="0" w:space="0" w:color="auto"/>
      </w:divBdr>
      <w:divsChild>
        <w:div w:id="930091722">
          <w:marLeft w:val="0"/>
          <w:marRight w:val="0"/>
          <w:marTop w:val="0"/>
          <w:marBottom w:val="0"/>
          <w:divBdr>
            <w:top w:val="none" w:sz="0" w:space="0" w:color="auto"/>
            <w:left w:val="none" w:sz="0" w:space="0" w:color="auto"/>
            <w:bottom w:val="none" w:sz="0" w:space="0" w:color="auto"/>
            <w:right w:val="none" w:sz="0" w:space="0" w:color="auto"/>
          </w:divBdr>
          <w:divsChild>
            <w:div w:id="274795075">
              <w:marLeft w:val="0"/>
              <w:marRight w:val="0"/>
              <w:marTop w:val="0"/>
              <w:marBottom w:val="0"/>
              <w:divBdr>
                <w:top w:val="none" w:sz="0" w:space="0" w:color="auto"/>
                <w:left w:val="none" w:sz="0" w:space="0" w:color="auto"/>
                <w:bottom w:val="none" w:sz="0" w:space="0" w:color="auto"/>
                <w:right w:val="none" w:sz="0" w:space="0" w:color="auto"/>
              </w:divBdr>
              <w:divsChild>
                <w:div w:id="1075005916">
                  <w:marLeft w:val="0"/>
                  <w:marRight w:val="0"/>
                  <w:marTop w:val="0"/>
                  <w:marBottom w:val="0"/>
                  <w:divBdr>
                    <w:top w:val="none" w:sz="0" w:space="0" w:color="auto"/>
                    <w:left w:val="none" w:sz="0" w:space="0" w:color="auto"/>
                    <w:bottom w:val="none" w:sz="0" w:space="0" w:color="auto"/>
                    <w:right w:val="none" w:sz="0" w:space="0" w:color="auto"/>
                  </w:divBdr>
                  <w:divsChild>
                    <w:div w:id="1505900896">
                      <w:marLeft w:val="0"/>
                      <w:marRight w:val="0"/>
                      <w:marTop w:val="0"/>
                      <w:marBottom w:val="0"/>
                      <w:divBdr>
                        <w:top w:val="none" w:sz="0" w:space="0" w:color="auto"/>
                        <w:left w:val="none" w:sz="0" w:space="0" w:color="auto"/>
                        <w:bottom w:val="none" w:sz="0" w:space="0" w:color="auto"/>
                        <w:right w:val="none" w:sz="0" w:space="0" w:color="auto"/>
                      </w:divBdr>
                      <w:divsChild>
                        <w:div w:id="1717848505">
                          <w:marLeft w:val="0"/>
                          <w:marRight w:val="0"/>
                          <w:marTop w:val="0"/>
                          <w:marBottom w:val="0"/>
                          <w:divBdr>
                            <w:top w:val="none" w:sz="0" w:space="0" w:color="auto"/>
                            <w:left w:val="none" w:sz="0" w:space="0" w:color="auto"/>
                            <w:bottom w:val="none" w:sz="0" w:space="0" w:color="auto"/>
                            <w:right w:val="none" w:sz="0" w:space="0" w:color="auto"/>
                          </w:divBdr>
                          <w:divsChild>
                            <w:div w:id="1715151360">
                              <w:marLeft w:val="0"/>
                              <w:marRight w:val="0"/>
                              <w:marTop w:val="0"/>
                              <w:marBottom w:val="0"/>
                              <w:divBdr>
                                <w:top w:val="none" w:sz="0" w:space="0" w:color="auto"/>
                                <w:left w:val="none" w:sz="0" w:space="0" w:color="auto"/>
                                <w:bottom w:val="none" w:sz="0" w:space="0" w:color="auto"/>
                                <w:right w:val="none" w:sz="0" w:space="0" w:color="auto"/>
                              </w:divBdr>
                              <w:divsChild>
                                <w:div w:id="1055588902">
                                  <w:marLeft w:val="0"/>
                                  <w:marRight w:val="0"/>
                                  <w:marTop w:val="0"/>
                                  <w:marBottom w:val="0"/>
                                  <w:divBdr>
                                    <w:top w:val="none" w:sz="0" w:space="0" w:color="auto"/>
                                    <w:left w:val="none" w:sz="0" w:space="0" w:color="auto"/>
                                    <w:bottom w:val="none" w:sz="0" w:space="0" w:color="auto"/>
                                    <w:right w:val="none" w:sz="0" w:space="0" w:color="auto"/>
                                  </w:divBdr>
                                  <w:divsChild>
                                    <w:div w:id="1953440628">
                                      <w:marLeft w:val="0"/>
                                      <w:marRight w:val="0"/>
                                      <w:marTop w:val="0"/>
                                      <w:marBottom w:val="0"/>
                                      <w:divBdr>
                                        <w:top w:val="none" w:sz="0" w:space="0" w:color="auto"/>
                                        <w:left w:val="none" w:sz="0" w:space="0" w:color="auto"/>
                                        <w:bottom w:val="none" w:sz="0" w:space="0" w:color="auto"/>
                                        <w:right w:val="none" w:sz="0" w:space="0" w:color="auto"/>
                                      </w:divBdr>
                                    </w:div>
                                    <w:div w:id="69758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1623510">
      <w:bodyDiv w:val="1"/>
      <w:marLeft w:val="0"/>
      <w:marRight w:val="0"/>
      <w:marTop w:val="0"/>
      <w:marBottom w:val="0"/>
      <w:divBdr>
        <w:top w:val="none" w:sz="0" w:space="0" w:color="auto"/>
        <w:left w:val="none" w:sz="0" w:space="0" w:color="auto"/>
        <w:bottom w:val="none" w:sz="0" w:space="0" w:color="auto"/>
        <w:right w:val="none" w:sz="0" w:space="0" w:color="auto"/>
      </w:divBdr>
      <w:divsChild>
        <w:div w:id="1133448745">
          <w:marLeft w:val="720"/>
          <w:marRight w:val="0"/>
          <w:marTop w:val="0"/>
          <w:marBottom w:val="0"/>
          <w:divBdr>
            <w:top w:val="none" w:sz="0" w:space="0" w:color="auto"/>
            <w:left w:val="none" w:sz="0" w:space="0" w:color="auto"/>
            <w:bottom w:val="none" w:sz="0" w:space="0" w:color="auto"/>
            <w:right w:val="none" w:sz="0" w:space="0" w:color="auto"/>
          </w:divBdr>
        </w:div>
        <w:div w:id="888538747">
          <w:marLeft w:val="720"/>
          <w:marRight w:val="0"/>
          <w:marTop w:val="0"/>
          <w:marBottom w:val="0"/>
          <w:divBdr>
            <w:top w:val="none" w:sz="0" w:space="0" w:color="auto"/>
            <w:left w:val="none" w:sz="0" w:space="0" w:color="auto"/>
            <w:bottom w:val="none" w:sz="0" w:space="0" w:color="auto"/>
            <w:right w:val="none" w:sz="0" w:space="0" w:color="auto"/>
          </w:divBdr>
        </w:div>
        <w:div w:id="1027097774">
          <w:marLeft w:val="720"/>
          <w:marRight w:val="0"/>
          <w:marTop w:val="0"/>
          <w:marBottom w:val="0"/>
          <w:divBdr>
            <w:top w:val="none" w:sz="0" w:space="0" w:color="auto"/>
            <w:left w:val="none" w:sz="0" w:space="0" w:color="auto"/>
            <w:bottom w:val="none" w:sz="0" w:space="0" w:color="auto"/>
            <w:right w:val="none" w:sz="0" w:space="0" w:color="auto"/>
          </w:divBdr>
        </w:div>
      </w:divsChild>
    </w:div>
    <w:div w:id="1544556012">
      <w:bodyDiv w:val="1"/>
      <w:marLeft w:val="0"/>
      <w:marRight w:val="0"/>
      <w:marTop w:val="0"/>
      <w:marBottom w:val="0"/>
      <w:divBdr>
        <w:top w:val="none" w:sz="0" w:space="0" w:color="auto"/>
        <w:left w:val="none" w:sz="0" w:space="0" w:color="auto"/>
        <w:bottom w:val="none" w:sz="0" w:space="0" w:color="auto"/>
        <w:right w:val="none" w:sz="0" w:space="0" w:color="auto"/>
      </w:divBdr>
    </w:div>
    <w:div w:id="1635453249">
      <w:bodyDiv w:val="1"/>
      <w:marLeft w:val="0"/>
      <w:marRight w:val="0"/>
      <w:marTop w:val="0"/>
      <w:marBottom w:val="0"/>
      <w:divBdr>
        <w:top w:val="none" w:sz="0" w:space="0" w:color="auto"/>
        <w:left w:val="none" w:sz="0" w:space="0" w:color="auto"/>
        <w:bottom w:val="none" w:sz="0" w:space="0" w:color="auto"/>
        <w:right w:val="none" w:sz="0" w:space="0" w:color="auto"/>
      </w:divBdr>
    </w:div>
    <w:div w:id="1758750349">
      <w:bodyDiv w:val="1"/>
      <w:marLeft w:val="0"/>
      <w:marRight w:val="0"/>
      <w:marTop w:val="0"/>
      <w:marBottom w:val="0"/>
      <w:divBdr>
        <w:top w:val="none" w:sz="0" w:space="0" w:color="auto"/>
        <w:left w:val="none" w:sz="0" w:space="0" w:color="auto"/>
        <w:bottom w:val="none" w:sz="0" w:space="0" w:color="auto"/>
        <w:right w:val="none" w:sz="0" w:space="0" w:color="auto"/>
      </w:divBdr>
    </w:div>
    <w:div w:id="1828596144">
      <w:bodyDiv w:val="1"/>
      <w:marLeft w:val="0"/>
      <w:marRight w:val="0"/>
      <w:marTop w:val="0"/>
      <w:marBottom w:val="0"/>
      <w:divBdr>
        <w:top w:val="none" w:sz="0" w:space="0" w:color="auto"/>
        <w:left w:val="none" w:sz="0" w:space="0" w:color="auto"/>
        <w:bottom w:val="none" w:sz="0" w:space="0" w:color="auto"/>
        <w:right w:val="none" w:sz="0" w:space="0" w:color="auto"/>
      </w:divBdr>
    </w:div>
    <w:div w:id="1898085870">
      <w:bodyDiv w:val="1"/>
      <w:marLeft w:val="0"/>
      <w:marRight w:val="0"/>
      <w:marTop w:val="0"/>
      <w:marBottom w:val="0"/>
      <w:divBdr>
        <w:top w:val="none" w:sz="0" w:space="0" w:color="auto"/>
        <w:left w:val="none" w:sz="0" w:space="0" w:color="auto"/>
        <w:bottom w:val="none" w:sz="0" w:space="0" w:color="auto"/>
        <w:right w:val="none" w:sz="0" w:space="0" w:color="auto"/>
      </w:divBdr>
    </w:div>
    <w:div w:id="1972318757">
      <w:bodyDiv w:val="1"/>
      <w:marLeft w:val="0"/>
      <w:marRight w:val="0"/>
      <w:marTop w:val="0"/>
      <w:marBottom w:val="0"/>
      <w:divBdr>
        <w:top w:val="none" w:sz="0" w:space="0" w:color="auto"/>
        <w:left w:val="none" w:sz="0" w:space="0" w:color="auto"/>
        <w:bottom w:val="none" w:sz="0" w:space="0" w:color="auto"/>
        <w:right w:val="none" w:sz="0" w:space="0" w:color="auto"/>
      </w:divBdr>
      <w:divsChild>
        <w:div w:id="1087077511">
          <w:marLeft w:val="0"/>
          <w:marRight w:val="0"/>
          <w:marTop w:val="0"/>
          <w:marBottom w:val="0"/>
          <w:divBdr>
            <w:top w:val="none" w:sz="0" w:space="0" w:color="auto"/>
            <w:left w:val="single" w:sz="6" w:space="0" w:color="C9CACC"/>
            <w:bottom w:val="none" w:sz="0" w:space="0" w:color="auto"/>
            <w:right w:val="single" w:sz="6" w:space="0" w:color="C9CACC"/>
          </w:divBdr>
          <w:divsChild>
            <w:div w:id="1858155232">
              <w:marLeft w:val="0"/>
              <w:marRight w:val="0"/>
              <w:marTop w:val="0"/>
              <w:marBottom w:val="0"/>
              <w:divBdr>
                <w:top w:val="none" w:sz="0" w:space="0" w:color="auto"/>
                <w:left w:val="none" w:sz="0" w:space="0" w:color="auto"/>
                <w:bottom w:val="none" w:sz="0" w:space="0" w:color="auto"/>
                <w:right w:val="none" w:sz="0" w:space="0" w:color="auto"/>
              </w:divBdr>
              <w:divsChild>
                <w:div w:id="1756778988">
                  <w:marLeft w:val="0"/>
                  <w:marRight w:val="1800"/>
                  <w:marTop w:val="1170"/>
                  <w:marBottom w:val="1125"/>
                  <w:divBdr>
                    <w:top w:val="none" w:sz="0" w:space="0" w:color="auto"/>
                    <w:left w:val="none" w:sz="0" w:space="0" w:color="auto"/>
                    <w:bottom w:val="none" w:sz="0" w:space="0" w:color="auto"/>
                    <w:right w:val="none" w:sz="0" w:space="0" w:color="auto"/>
                  </w:divBdr>
                </w:div>
              </w:divsChild>
            </w:div>
          </w:divsChild>
        </w:div>
      </w:divsChild>
    </w:div>
    <w:div w:id="2030832857">
      <w:bodyDiv w:val="1"/>
      <w:marLeft w:val="0"/>
      <w:marRight w:val="0"/>
      <w:marTop w:val="0"/>
      <w:marBottom w:val="0"/>
      <w:divBdr>
        <w:top w:val="none" w:sz="0" w:space="0" w:color="auto"/>
        <w:left w:val="none" w:sz="0" w:space="0" w:color="auto"/>
        <w:bottom w:val="none" w:sz="0" w:space="0" w:color="auto"/>
        <w:right w:val="none" w:sz="0" w:space="0" w:color="auto"/>
      </w:divBdr>
    </w:div>
    <w:div w:id="2063092091">
      <w:bodyDiv w:val="1"/>
      <w:marLeft w:val="0"/>
      <w:marRight w:val="0"/>
      <w:marTop w:val="0"/>
      <w:marBottom w:val="0"/>
      <w:divBdr>
        <w:top w:val="none" w:sz="0" w:space="0" w:color="auto"/>
        <w:left w:val="none" w:sz="0" w:space="0" w:color="auto"/>
        <w:bottom w:val="none" w:sz="0" w:space="0" w:color="auto"/>
        <w:right w:val="none" w:sz="0" w:space="0" w:color="auto"/>
      </w:divBdr>
    </w:div>
    <w:div w:id="2107843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spa.org.nz" TargetMode="External"/><Relationship Id="rId13" Type="http://schemas.openxmlformats.org/officeDocument/2006/relationships/hyperlink" Target="http://www.ncbi.nlm.nih.gov/pubmed?term=Gelberg%20L%5BAuthor%5D&amp;cauthor=true&amp;cauthor_uid=22685362" TargetMode="External"/><Relationship Id="rId3" Type="http://schemas.openxmlformats.org/officeDocument/2006/relationships/styles" Target="styles.xml"/><Relationship Id="rId7" Type="http://schemas.openxmlformats.org/officeDocument/2006/relationships/image" Target="media/image1.jpg"/><Relationship Id="rId12" Type="http://schemas.openxmlformats.org/officeDocument/2006/relationships/hyperlink" Target="http://www.ncbi.nlm.nih.gov/pubmed?term=David%20DH%5BAuthor%5D&amp;cauthor=true&amp;cauthor_uid=2268536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ecd.org/els/socialpoliciesanddata/49499779.pdf" TargetMode="External"/><Relationship Id="rId5" Type="http://schemas.openxmlformats.org/officeDocument/2006/relationships/settings" Target="settings.xml"/><Relationship Id="rId15" Type="http://schemas.openxmlformats.org/officeDocument/2006/relationships/hyperlink" Target="mailto:info@sspa.org.nz" TargetMode="External"/><Relationship Id="rId10" Type="http://schemas.openxmlformats.org/officeDocument/2006/relationships/hyperlink" Target="http://www.hqsc.govt.nz/assets/FVDRC/Publications/FVDRC-submission-on-the-Green-Paper-for-Vulnerable-Children.pdf" TargetMode="External"/><Relationship Id="rId4" Type="http://schemas.microsoft.com/office/2007/relationships/stylesWithEffects" Target="stylesWithEffects.xml"/><Relationship Id="rId9" Type="http://schemas.openxmlformats.org/officeDocument/2006/relationships/hyperlink" Target="http://www.hqsc.govt.nz/our-programmes/mrc/fvdrc/" TargetMode="External"/><Relationship Id="rId14" Type="http://schemas.openxmlformats.org/officeDocument/2006/relationships/hyperlink" Target="http://www.ncbi.nlm.nih.gov/pubmed?term=Suchman%20NE%5BAuthor%5D&amp;cauthor=true&amp;cauthor_uid=226853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0F97C-2416-4410-916D-87906E9DD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9377</Words>
  <Characters>53453</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62705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Dickson</dc:creator>
  <cp:lastModifiedBy>Tara D'Sousa</cp:lastModifiedBy>
  <cp:revision>2</cp:revision>
  <cp:lastPrinted>2013-10-16T19:22:00Z</cp:lastPrinted>
  <dcterms:created xsi:type="dcterms:W3CDTF">2013-10-16T19:23:00Z</dcterms:created>
  <dcterms:modified xsi:type="dcterms:W3CDTF">2013-10-16T19:23:00Z</dcterms:modified>
</cp:coreProperties>
</file>